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022A" w14:textId="77777777" w:rsidR="008F7A21" w:rsidRDefault="00000000">
      <w:pPr>
        <w:jc w:val="center"/>
        <w:rPr>
          <w:rFonts w:ascii="Times New Roman" w:hAnsi="Times New Roman" w:cs="Times New Roman"/>
          <w:b/>
          <w:bCs/>
          <w:sz w:val="28"/>
          <w:szCs w:val="28"/>
        </w:rPr>
      </w:pPr>
      <w:r>
        <w:rPr>
          <w:rFonts w:ascii="Times New Roman" w:hAnsi="Times New Roman" w:cs="Times New Roman"/>
          <w:b/>
          <w:bCs/>
          <w:sz w:val="28"/>
          <w:szCs w:val="28"/>
        </w:rPr>
        <w:t>Оголошення про проведення конкурсу на заміщення вакантних посад  директора Кам’янського ліцею Кам’янської сільської ради Берегівського району Закарпатської області, Сілецького ліцею Кам’янської сільської ради Берегівського району Закарпатської області, Сілецької гімназії Кам’янської сільської ради Берегівського району Закарпатської області, Дунковицької гімназії Кам’янської сільської ради Берегівського району Закарпатської області</w:t>
      </w:r>
    </w:p>
    <w:p w14:paraId="4E2BDE32" w14:textId="77777777" w:rsidR="008F7A21" w:rsidRDefault="008F7A21">
      <w:pPr>
        <w:jc w:val="center"/>
        <w:rPr>
          <w:rFonts w:ascii="Times New Roman" w:hAnsi="Times New Roman" w:cs="Times New Roman"/>
          <w:b/>
          <w:bCs/>
          <w:sz w:val="28"/>
          <w:szCs w:val="28"/>
        </w:rPr>
      </w:pPr>
    </w:p>
    <w:p w14:paraId="03F8154F"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опубліковано: 11 червня 2026 року</w:t>
      </w:r>
    </w:p>
    <w:p w14:paraId="5F5635D0"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w:t>
      </w:r>
    </w:p>
    <w:tbl>
      <w:tblPr>
        <w:tblW w:w="9923" w:type="dxa"/>
        <w:tblInd w:w="292" w:type="dxa"/>
        <w:shd w:val="clear" w:color="auto" w:fill="FFFFFF"/>
        <w:tblCellMar>
          <w:left w:w="0" w:type="dxa"/>
          <w:right w:w="0" w:type="dxa"/>
        </w:tblCellMar>
        <w:tblLook w:val="04A0" w:firstRow="1" w:lastRow="0" w:firstColumn="1" w:lastColumn="0" w:noHBand="0" w:noVBand="1"/>
      </w:tblPr>
      <w:tblGrid>
        <w:gridCol w:w="2980"/>
        <w:gridCol w:w="130"/>
        <w:gridCol w:w="6813"/>
      </w:tblGrid>
      <w:tr w:rsidR="008F7A21" w14:paraId="10FE68AF" w14:textId="77777777">
        <w:trPr>
          <w:trHeight w:val="1774"/>
        </w:trPr>
        <w:tc>
          <w:tcPr>
            <w:tcW w:w="9923" w:type="dxa"/>
            <w:gridSpan w:val="3"/>
            <w:tcBorders>
              <w:top w:val="single" w:sz="8" w:space="0" w:color="CCCCCC"/>
              <w:left w:val="single" w:sz="8" w:space="0" w:color="CCCCCC"/>
              <w:bottom w:val="single" w:sz="8" w:space="0" w:color="CCCCCC"/>
              <w:right w:val="single" w:sz="8" w:space="0" w:color="CCCCCC"/>
            </w:tcBorders>
            <w:shd w:val="clear" w:color="auto" w:fill="FFFFFF"/>
            <w:tcMar>
              <w:top w:w="150" w:type="dxa"/>
              <w:left w:w="150" w:type="dxa"/>
              <w:bottom w:w="150" w:type="dxa"/>
              <w:right w:w="150" w:type="dxa"/>
            </w:tcMar>
            <w:vAlign w:val="bottom"/>
          </w:tcPr>
          <w:p w14:paraId="095B5CA9"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повну загальну середню освіту»,  на виконання розпорядження сільського голови від 11 червня 2026 року №09-05/39 «Про проведення конкурсу на вакантні посади директорів закладів загальної середньої освіти Кам’янської сільської ради Берегівського району Закарпатської області»</w:t>
            </w:r>
          </w:p>
        </w:tc>
      </w:tr>
      <w:tr w:rsidR="008F7A21" w14:paraId="02641FD6" w14:textId="77777777">
        <w:trPr>
          <w:trHeight w:val="20"/>
        </w:trPr>
        <w:tc>
          <w:tcPr>
            <w:tcW w:w="9923" w:type="dxa"/>
            <w:gridSpan w:val="3"/>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0B02B84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Загальні умови</w:t>
            </w:r>
          </w:p>
        </w:tc>
      </w:tr>
      <w:tr w:rsidR="008F7A21" w14:paraId="1448D351" w14:textId="77777777">
        <w:trPr>
          <w:trHeight w:val="670"/>
        </w:trPr>
        <w:tc>
          <w:tcPr>
            <w:tcW w:w="2552" w:type="dxa"/>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5626166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Найменування посади</w:t>
            </w:r>
          </w:p>
        </w:tc>
        <w:tc>
          <w:tcPr>
            <w:tcW w:w="7371" w:type="dxa"/>
            <w:gridSpan w:val="2"/>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0E356594" w14:textId="77777777" w:rsidR="008F7A21" w:rsidRDefault="00000000">
            <w:pPr>
              <w:jc w:val="center"/>
              <w:rPr>
                <w:rFonts w:ascii="Times New Roman" w:hAnsi="Times New Roman" w:cs="Times New Roman"/>
                <w:sz w:val="28"/>
                <w:szCs w:val="28"/>
              </w:rPr>
            </w:pPr>
            <w:r>
              <w:rPr>
                <w:rFonts w:ascii="Times New Roman" w:hAnsi="Times New Roman" w:cs="Times New Roman"/>
                <w:sz w:val="28"/>
                <w:szCs w:val="28"/>
              </w:rPr>
              <w:t>Директор Кам’янського ліцею Кам’янської сільської ради Берегівського району Закарпатської області, директор Сілецького ліцею Кам’янської сільської ради Берегівського району Закарпатської області, директор Сілецької гімназії Кам’янської сільської ради Берегівського району Закарпатської області, директор Дунковицької гімназії Кам’янської сільської ради Берегівського району Закарпатської області</w:t>
            </w:r>
          </w:p>
          <w:p w14:paraId="31869D2F" w14:textId="77777777" w:rsidR="008F7A21" w:rsidRDefault="008F7A21">
            <w:pPr>
              <w:rPr>
                <w:rFonts w:ascii="Times New Roman" w:hAnsi="Times New Roman" w:cs="Times New Roman"/>
                <w:sz w:val="28"/>
                <w:szCs w:val="28"/>
              </w:rPr>
            </w:pPr>
          </w:p>
        </w:tc>
      </w:tr>
      <w:tr w:rsidR="008F7A21" w14:paraId="32837931" w14:textId="77777777">
        <w:trPr>
          <w:trHeight w:val="674"/>
        </w:trPr>
        <w:tc>
          <w:tcPr>
            <w:tcW w:w="2552" w:type="dxa"/>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48DF899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Умови оплати праці</w:t>
            </w:r>
          </w:p>
        </w:tc>
        <w:tc>
          <w:tcPr>
            <w:tcW w:w="7371" w:type="dxa"/>
            <w:gridSpan w:val="2"/>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42AE446A"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Посадовий оклад, надбавки, доплати </w:t>
            </w:r>
            <w:r>
              <w:rPr>
                <w:rFonts w:ascii="Times New Roman" w:hAnsi="Times New Roman" w:cs="Times New Roman"/>
                <w:sz w:val="28"/>
                <w:szCs w:val="28"/>
              </w:rPr>
              <w:t>та премії </w:t>
            </w:r>
            <w:r>
              <w:rPr>
                <w:rFonts w:ascii="Times New Roman" w:hAnsi="Times New Roman" w:cs="Times New Roman"/>
                <w:sz w:val="28"/>
                <w:szCs w:val="28"/>
                <w:lang w:val="ru-RU"/>
              </w:rPr>
              <w:t>встановлюються </w:t>
            </w:r>
            <w:r>
              <w:rPr>
                <w:rFonts w:ascii="Times New Roman" w:hAnsi="Times New Roman" w:cs="Times New Roman"/>
                <w:sz w:val="28"/>
                <w:szCs w:val="28"/>
              </w:rPr>
              <w:t>згідно з контрактом відповідно до норм чинного законодавства України</w:t>
            </w:r>
          </w:p>
        </w:tc>
      </w:tr>
      <w:tr w:rsidR="008F7A21" w14:paraId="4D0BED57" w14:textId="77777777">
        <w:tc>
          <w:tcPr>
            <w:tcW w:w="2552" w:type="dxa"/>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78CD08BE"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Інформація про призначення на посаду директора </w:t>
            </w:r>
            <w:r>
              <w:rPr>
                <w:rFonts w:ascii="Times New Roman" w:hAnsi="Times New Roman" w:cs="Times New Roman"/>
                <w:sz w:val="28"/>
                <w:szCs w:val="28"/>
              </w:rPr>
              <w:t>закладу освіти</w:t>
            </w:r>
          </w:p>
        </w:tc>
        <w:tc>
          <w:tcPr>
            <w:tcW w:w="7371" w:type="dxa"/>
            <w:gridSpan w:val="2"/>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6CD546D9" w14:textId="77777777" w:rsidR="008F7A21" w:rsidRDefault="00000000">
            <w:pPr>
              <w:jc w:val="center"/>
              <w:rPr>
                <w:rFonts w:ascii="Times New Roman" w:hAnsi="Times New Roman" w:cs="Times New Roman"/>
                <w:sz w:val="28"/>
                <w:szCs w:val="28"/>
              </w:rPr>
            </w:pPr>
            <w:r>
              <w:rPr>
                <w:rFonts w:ascii="Times New Roman" w:hAnsi="Times New Roman" w:cs="Times New Roman"/>
                <w:sz w:val="28"/>
                <w:szCs w:val="28"/>
                <w:lang w:val="ru-RU"/>
              </w:rPr>
              <w:t xml:space="preserve">Призначення на посаду директора </w:t>
            </w:r>
            <w:r>
              <w:rPr>
                <w:rFonts w:ascii="Times New Roman" w:hAnsi="Times New Roman" w:cs="Times New Roman"/>
                <w:sz w:val="28"/>
                <w:szCs w:val="28"/>
              </w:rPr>
              <w:t xml:space="preserve">Кам’янського ліцею Кам’янської сільської ради Берегівського району Закарпатської області, директор Сілецького ліцею Кам’янської сільської ради Берегівського району Закарпатської області, директор Сілецької гімназії Кам’янської сільської ради Берегівського району </w:t>
            </w:r>
            <w:r>
              <w:rPr>
                <w:rFonts w:ascii="Times New Roman" w:hAnsi="Times New Roman" w:cs="Times New Roman"/>
                <w:sz w:val="28"/>
                <w:szCs w:val="28"/>
              </w:rPr>
              <w:lastRenderedPageBreak/>
              <w:t>Закарпатської області, директор Дунковицької гімназії Кам’янської сільської ради Берегівського району Закарпатської області</w:t>
            </w:r>
            <w:r>
              <w:rPr>
                <w:rFonts w:ascii="Times New Roman" w:hAnsi="Times New Roman" w:cs="Times New Roman"/>
                <w:sz w:val="28"/>
                <w:szCs w:val="28"/>
                <w:lang w:val="ru-RU"/>
              </w:rPr>
              <w:t xml:space="preserve"> здійснюється за результатами конкурсу</w:t>
            </w:r>
            <w:r>
              <w:rPr>
                <w:rFonts w:ascii="Times New Roman" w:hAnsi="Times New Roman" w:cs="Times New Roman"/>
                <w:sz w:val="28"/>
                <w:szCs w:val="28"/>
              </w:rPr>
              <w:t>,</w:t>
            </w:r>
            <w:r>
              <w:rPr>
                <w:rFonts w:ascii="Times New Roman" w:hAnsi="Times New Roman" w:cs="Times New Roman"/>
                <w:sz w:val="28"/>
                <w:szCs w:val="28"/>
                <w:lang w:val="ru-RU"/>
              </w:rPr>
              <w:t> шляхом укладення строкового трудового договору (контракту) строком на шість років </w:t>
            </w:r>
            <w:r>
              <w:rPr>
                <w:rFonts w:ascii="Times New Roman" w:hAnsi="Times New Roman" w:cs="Times New Roman"/>
                <w:sz w:val="28"/>
                <w:szCs w:val="28"/>
              </w:rPr>
              <w:t>(строком на два роки для особи, яка призначена на посаду керівника закладу загальної середньої освіти вперше).</w:t>
            </w:r>
          </w:p>
        </w:tc>
      </w:tr>
      <w:tr w:rsidR="008F7A21" w14:paraId="6A76741E" w14:textId="77777777">
        <w:tc>
          <w:tcPr>
            <w:tcW w:w="9923" w:type="dxa"/>
            <w:gridSpan w:val="3"/>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5D9CFBD8"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Кваліфікаційні та професійні вимоги</w:t>
            </w:r>
          </w:p>
        </w:tc>
      </w:tr>
      <w:tr w:rsidR="008F7A21" w14:paraId="79498AD0"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5D519D4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Громадянство України</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1F0AB835"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Громадянин України</w:t>
            </w:r>
          </w:p>
        </w:tc>
      </w:tr>
      <w:tr w:rsidR="008F7A21" w14:paraId="6E0D5D84"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155F4B4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Освіта</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03D84E4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вища;</w:t>
            </w:r>
          </w:p>
          <w:p w14:paraId="1C40691E"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освітній ступінь – не нижче магістра (спеціаліста)</w:t>
            </w:r>
          </w:p>
        </w:tc>
      </w:tr>
      <w:tr w:rsidR="008F7A21" w14:paraId="7B44A119"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11C984F2"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Досвід роботи</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7AFDF248"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стаж педагогічної та/або науково-педагогічної роботи – не менше</w:t>
            </w:r>
            <w:r>
              <w:rPr>
                <w:rFonts w:ascii="Times New Roman" w:hAnsi="Times New Roman" w:cs="Times New Roman"/>
                <w:sz w:val="28"/>
                <w:szCs w:val="28"/>
              </w:rPr>
              <w:t> трьох</w:t>
            </w:r>
            <w:r>
              <w:rPr>
                <w:rFonts w:ascii="Times New Roman" w:hAnsi="Times New Roman" w:cs="Times New Roman"/>
                <w:sz w:val="28"/>
                <w:szCs w:val="28"/>
                <w:lang w:val="ru-RU"/>
              </w:rPr>
              <w:t> років</w:t>
            </w:r>
          </w:p>
        </w:tc>
      </w:tr>
      <w:tr w:rsidR="008F7A21" w14:paraId="7033D0EF"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12E5407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Володіння державною мовою</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7FE78705"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вільне володіння державною мовою</w:t>
            </w:r>
          </w:p>
        </w:tc>
      </w:tr>
      <w:tr w:rsidR="008F7A21" w14:paraId="70078E5E"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0EE3666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Вимоги на знання законодавства України</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44DD11FA"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Конституція України, з</w:t>
            </w:r>
            <w:r>
              <w:rPr>
                <w:rFonts w:ascii="Times New Roman" w:hAnsi="Times New Roman" w:cs="Times New Roman"/>
                <w:sz w:val="28"/>
                <w:szCs w:val="28"/>
                <w:lang w:val="ru-RU"/>
              </w:rPr>
              <w:t>аконодавство у сфері загальної середньої освіти, зокрема Закон України «Про освіту»</w:t>
            </w:r>
            <w:r>
              <w:rPr>
                <w:rFonts w:ascii="Times New Roman" w:hAnsi="Times New Roman" w:cs="Times New Roman"/>
                <w:sz w:val="28"/>
                <w:szCs w:val="28"/>
              </w:rPr>
              <w:t>, Закон України «Про повну загальну середню освіту»</w:t>
            </w:r>
          </w:p>
        </w:tc>
      </w:tr>
      <w:tr w:rsidR="008F7A21" w14:paraId="3005C9CB"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6CED9139"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Інші вимоги</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70E9394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організаторські здібності;</w:t>
            </w:r>
          </w:p>
          <w:p w14:paraId="3E467510"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фізичний і психічний стан, який не перешкоджає виконанню професійних обов’язків.</w:t>
            </w:r>
          </w:p>
        </w:tc>
      </w:tr>
      <w:tr w:rsidR="008F7A21" w14:paraId="4ED6A8FD"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691B488F"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Не може обіймати посаду керівника особа, яка:</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56BB91A8"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є недієздатною особою або цивільна дієздатність якої обмежена;</w:t>
            </w:r>
          </w:p>
          <w:p w14:paraId="74CFAF99"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має судимість за вчинення злочину;</w:t>
            </w:r>
          </w:p>
          <w:p w14:paraId="5E906B0E"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позбавлена права обіймати відповідну посаду;</w:t>
            </w:r>
          </w:p>
          <w:p w14:paraId="6567D645"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за рішенням суду визнана винною у вчиненні корупційного правопорушення;</w:t>
            </w:r>
          </w:p>
          <w:p w14:paraId="5B93FB44"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 за рішенням суду визнана винною у вчиненні правопорушення, пов’язаного з корупцією;</w:t>
            </w:r>
          </w:p>
          <w:p w14:paraId="571B569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підпадає під заборону, встановлену </w:t>
            </w:r>
            <w:hyperlink r:id="rId6" w:history="1">
              <w:r>
                <w:rPr>
                  <w:rStyle w:val="a3"/>
                  <w:rFonts w:ascii="Times New Roman" w:hAnsi="Times New Roman" w:cs="Times New Roman"/>
                  <w:sz w:val="28"/>
                  <w:szCs w:val="28"/>
                  <w:lang w:val="ru-RU"/>
                </w:rPr>
                <w:t>Законом України</w:t>
              </w:r>
            </w:hyperlink>
            <w:r>
              <w:rPr>
                <w:rFonts w:ascii="Times New Roman" w:hAnsi="Times New Roman" w:cs="Times New Roman"/>
                <w:sz w:val="28"/>
                <w:szCs w:val="28"/>
                <w:lang w:val="ru-RU"/>
              </w:rPr>
              <w:t> «Про очищення влади».</w:t>
            </w:r>
          </w:p>
        </w:tc>
      </w:tr>
      <w:tr w:rsidR="008F7A21" w14:paraId="3FE481FD" w14:textId="77777777">
        <w:tc>
          <w:tcPr>
            <w:tcW w:w="9923" w:type="dxa"/>
            <w:gridSpan w:val="3"/>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1C1DD79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Інформація щодо переліку, місця та строків подання документів, необхідних для участі в конкурсі</w:t>
            </w:r>
          </w:p>
        </w:tc>
      </w:tr>
      <w:tr w:rsidR="008F7A21" w14:paraId="71D68666"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3C5BA159"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Строк прийому документів</w:t>
            </w:r>
          </w:p>
          <w:p w14:paraId="2249B664"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Дата  закінчення прийому документів</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00E6D2C1"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29 </w:t>
            </w:r>
            <w:r>
              <w:rPr>
                <w:rFonts w:ascii="Times New Roman" w:hAnsi="Times New Roman" w:cs="Times New Roman"/>
                <w:sz w:val="28"/>
                <w:szCs w:val="28"/>
                <w:lang w:val="ru-RU"/>
              </w:rPr>
              <w:t>календарних днів з дня оприлюднення оголошення про проведення конкурсу.</w:t>
            </w:r>
          </w:p>
          <w:p w14:paraId="322FE0F9"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09.07.2026 року</w:t>
            </w:r>
          </w:p>
        </w:tc>
      </w:tr>
      <w:tr w:rsidR="008F7A21" w14:paraId="1FB02ECE"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4DEEE982"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Перелік документів, необхідних для участі у конкурсі</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6180F86A"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заява про участь у конкурсі з наданням згоди на обробку персональних даних відповідно до </w:t>
            </w:r>
            <w:hyperlink r:id="rId7" w:history="1">
              <w:r>
                <w:rPr>
                  <w:rStyle w:val="a3"/>
                  <w:rFonts w:ascii="Times New Roman" w:hAnsi="Times New Roman" w:cs="Times New Roman"/>
                  <w:sz w:val="28"/>
                  <w:szCs w:val="28"/>
                  <w:lang w:val="ru-RU"/>
                </w:rPr>
                <w:t>Закону України</w:t>
              </w:r>
            </w:hyperlink>
            <w:r>
              <w:rPr>
                <w:rFonts w:ascii="Times New Roman" w:hAnsi="Times New Roman" w:cs="Times New Roman"/>
                <w:sz w:val="28"/>
                <w:szCs w:val="28"/>
                <w:lang w:val="ru-RU"/>
              </w:rPr>
              <w:t> «Про захист персональних даних»;</w:t>
            </w:r>
          </w:p>
          <w:p w14:paraId="2BC6F2B2"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автобіографія та/або резюме (за вибором учасника конкурсу);</w:t>
            </w:r>
          </w:p>
          <w:p w14:paraId="0A5957A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копія документа, що посвідчує особу та підтверджує громадянство України;</w:t>
            </w:r>
          </w:p>
          <w:p w14:paraId="20838179"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копія документа про вищу освіту (з додатком, що є його невід’ємною частиною) не нижче освітнього ступеня магістра (спеціаліста);</w:t>
            </w:r>
          </w:p>
          <w:p w14:paraId="700ACB75"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копія трудової книжки чи інших документів, що підтверджують стаж педагогічної (науково-педагогічної) роботи не менше трьох років на день їх подання;</w:t>
            </w:r>
          </w:p>
          <w:p w14:paraId="692C32C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w:t>
            </w:r>
            <w:r>
              <w:rPr>
                <w:rFonts w:ascii="Times New Roman" w:hAnsi="Times New Roman" w:cs="Times New Roman"/>
                <w:sz w:val="28"/>
                <w:szCs w:val="28"/>
              </w:rPr>
              <w:t>документ, що підтверджує вільне володіння державною мовою;</w:t>
            </w:r>
          </w:p>
          <w:p w14:paraId="5FA5C082"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довідка про відсутність судимості (витяг з інформаційно-аналітичної системи «Облік відомостей про притягнення особи до кримінальної відповідальності та наявності судимості»);</w:t>
            </w:r>
          </w:p>
          <w:p w14:paraId="74D7137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медична довідка про проходження попереднього (періодичного) психіатричного огляду (оригінал за формою №1</w:t>
            </w:r>
            <w:r>
              <w:rPr>
                <w:rFonts w:ascii="Times New Roman" w:hAnsi="Times New Roman" w:cs="Times New Roman"/>
                <w:sz w:val="28"/>
                <w:szCs w:val="28"/>
              </w:rPr>
              <w:t>00</w:t>
            </w:r>
            <w:r>
              <w:rPr>
                <w:rFonts w:ascii="Times New Roman" w:hAnsi="Times New Roman" w:cs="Times New Roman"/>
                <w:sz w:val="28"/>
                <w:szCs w:val="28"/>
                <w:lang w:val="ru-RU"/>
              </w:rPr>
              <w:t>-2/о);</w:t>
            </w:r>
          </w:p>
          <w:p w14:paraId="7A13A18F"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 мотиваційний лист, складений у довільній формі;</w:t>
            </w:r>
          </w:p>
          <w:p w14:paraId="5E29F49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 заява про наявність близьких родичів у складі конкурсної комісії (у разі наявності).</w:t>
            </w:r>
          </w:p>
          <w:p w14:paraId="0A9938A0"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Особа може надати інші документи, які можуть підтверджувати її професійні та/або моральні якості.</w:t>
            </w:r>
          </w:p>
          <w:p w14:paraId="331DF79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Відповідальність за достовірність поданих документів несе заявник.</w:t>
            </w:r>
          </w:p>
        </w:tc>
      </w:tr>
      <w:tr w:rsidR="008F7A21" w14:paraId="423D5D12" w14:textId="77777777">
        <w:trPr>
          <w:trHeight w:val="416"/>
        </w:trPr>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45004B3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Місце подання документів</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375311B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90125, село Кам'янське, вулиця Українська, 1</w:t>
            </w:r>
          </w:p>
          <w:p w14:paraId="08DA856D"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з 08:30 по 17:00 – відділ правового забезпечення Кам’янської сільської ради, кабінет 2</w:t>
            </w:r>
          </w:p>
        </w:tc>
      </w:tr>
      <w:tr w:rsidR="008F7A21" w14:paraId="1A32C0DB"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4728576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Прізвище, ім’я, по батькові, посада, номер телефону та адреса електронної пошти особи, яка надає додаткову  інформацію про конкурс та приймає документи для участі у конкурсі</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71ADD86A"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Шпак Оксана Вікторівна –  начальника відділу правового забезпечення -юрист Кам’янської сільської ради, секратар конкурсної комісії</w:t>
            </w:r>
          </w:p>
          <w:p w14:paraId="35545E15"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Тел. 380971951006</w:t>
            </w:r>
          </w:p>
          <w:p w14:paraId="00AA23F9" w14:textId="77777777" w:rsidR="008F7A21" w:rsidRDefault="00000000">
            <w:pPr>
              <w:rPr>
                <w:rFonts w:ascii="Times New Roman" w:hAnsi="Times New Roman" w:cs="Times New Roman"/>
                <w:sz w:val="28"/>
                <w:szCs w:val="28"/>
                <w:lang w:val="en-US"/>
              </w:rPr>
            </w:pPr>
            <w:r>
              <w:rPr>
                <w:rFonts w:ascii="Times New Roman" w:hAnsi="Times New Roman" w:cs="Times New Roman"/>
                <w:sz w:val="28"/>
                <w:szCs w:val="28"/>
                <w:lang w:val="en-US"/>
              </w:rPr>
              <w:t>oksana.ns5005@gmail.com</w:t>
            </w:r>
          </w:p>
        </w:tc>
      </w:tr>
      <w:tr w:rsidR="008F7A21" w14:paraId="06B77E65" w14:textId="77777777">
        <w:tc>
          <w:tcPr>
            <w:tcW w:w="9923" w:type="dxa"/>
            <w:gridSpan w:val="3"/>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281D4A48"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Інформація щодо місця, етапів проведення конкурсу</w:t>
            </w:r>
          </w:p>
        </w:tc>
      </w:tr>
      <w:tr w:rsidR="008F7A21" w14:paraId="2EDD44F7"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vAlign w:val="bottom"/>
          </w:tcPr>
          <w:p w14:paraId="4878966F"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Місце проведення конкурсу</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5530092F"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90</w:t>
            </w:r>
            <w:r>
              <w:rPr>
                <w:rFonts w:ascii="Times New Roman" w:hAnsi="Times New Roman" w:cs="Times New Roman"/>
                <w:sz w:val="28"/>
                <w:szCs w:val="28"/>
                <w:lang w:val="en-US"/>
              </w:rPr>
              <w:t>125</w:t>
            </w:r>
            <w:r>
              <w:rPr>
                <w:rFonts w:ascii="Times New Roman" w:hAnsi="Times New Roman" w:cs="Times New Roman"/>
                <w:sz w:val="28"/>
                <w:szCs w:val="28"/>
                <w:lang w:val="ru-RU"/>
              </w:rPr>
              <w:t>, сел</w:t>
            </w:r>
            <w:r>
              <w:rPr>
                <w:rFonts w:ascii="Times New Roman" w:hAnsi="Times New Roman" w:cs="Times New Roman"/>
                <w:sz w:val="28"/>
                <w:szCs w:val="28"/>
              </w:rPr>
              <w:t>о Кам’янське</w:t>
            </w:r>
            <w:r>
              <w:rPr>
                <w:rFonts w:ascii="Times New Roman" w:hAnsi="Times New Roman" w:cs="Times New Roman"/>
                <w:sz w:val="28"/>
                <w:szCs w:val="28"/>
                <w:lang w:val="ru-RU"/>
              </w:rPr>
              <w:t xml:space="preserve">, вулиця Мукачівська, 4А, приміщення Молодіжного центру </w:t>
            </w:r>
          </w:p>
        </w:tc>
      </w:tr>
      <w:tr w:rsidR="008F7A21" w14:paraId="47605B94"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79AB78F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Етапи та строки проведення конкурсу</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424D8A21"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Протягом п’яти робочих днів з дня завершення строку подання документів для участі у конкурсі конкурсна комісія:</w:t>
            </w:r>
          </w:p>
          <w:p w14:paraId="33B8F685"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перевіряє подані документи на відповідність установленим законодавством вимогам;</w:t>
            </w:r>
          </w:p>
          <w:p w14:paraId="59D620AF"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приймає рішення про допущення або недопущення до участі у конкурсі;</w:t>
            </w:r>
          </w:p>
          <w:p w14:paraId="06B0C7A6"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оприлюднює на офіційному вебсайті засновника перелік осіб, допущених до участі у конкурсному відборі.</w:t>
            </w:r>
          </w:p>
          <w:p w14:paraId="46E7D843"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делегує представника від конкусної комісії для ознайомлення кандидатів</w:t>
            </w:r>
            <w:r>
              <w:rPr>
                <w:rFonts w:ascii="Times New Roman" w:hAnsi="Times New Roman" w:cs="Times New Roman"/>
                <w:sz w:val="28"/>
                <w:szCs w:val="28"/>
              </w:rPr>
              <w:t> із закладом загальної середньої освіти</w:t>
            </w:r>
            <w:r>
              <w:rPr>
                <w:rFonts w:ascii="Times New Roman" w:hAnsi="Times New Roman" w:cs="Times New Roman"/>
                <w:sz w:val="28"/>
                <w:szCs w:val="28"/>
                <w:lang w:val="ru-RU"/>
              </w:rPr>
              <w:t>, його трудовим колективом та представниками органів громадського самоврядування.</w:t>
            </w:r>
          </w:p>
        </w:tc>
      </w:tr>
      <w:tr w:rsidR="008F7A21" w14:paraId="76824355"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56A6236B"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lastRenderedPageBreak/>
              <w:t>Дата і час проведення  конкурсного відбору, його етапи та тривалість</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3EA993DE"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Проведення конкурсного відбору:</w:t>
            </w:r>
          </w:p>
          <w:p w14:paraId="0A9A76E1" w14:textId="1546D015" w:rsidR="008F7A21" w:rsidRDefault="00000000">
            <w:pPr>
              <w:rPr>
                <w:rFonts w:ascii="Times New Roman" w:hAnsi="Times New Roman" w:cs="Times New Roman"/>
                <w:sz w:val="28"/>
                <w:szCs w:val="28"/>
              </w:rPr>
            </w:pPr>
            <w:r>
              <w:rPr>
                <w:rFonts w:ascii="Times New Roman" w:hAnsi="Times New Roman" w:cs="Times New Roman"/>
                <w:b/>
                <w:bCs/>
                <w:sz w:val="28"/>
                <w:szCs w:val="28"/>
              </w:rPr>
              <w:t>10:00 год. 11.08.</w:t>
            </w:r>
            <w:r>
              <w:rPr>
                <w:rFonts w:ascii="Times New Roman" w:hAnsi="Times New Roman" w:cs="Times New Roman"/>
                <w:b/>
                <w:bCs/>
                <w:sz w:val="28"/>
                <w:szCs w:val="28"/>
                <w:lang w:val="ru-RU"/>
              </w:rPr>
              <w:t>202</w:t>
            </w:r>
            <w:r w:rsidR="00A667BE">
              <w:rPr>
                <w:rFonts w:ascii="Times New Roman" w:hAnsi="Times New Roman" w:cs="Times New Roman"/>
                <w:b/>
                <w:bCs/>
                <w:sz w:val="28"/>
                <w:szCs w:val="28"/>
                <w:lang w:val="ru-RU"/>
              </w:rPr>
              <w:t>6</w:t>
            </w:r>
            <w:r>
              <w:rPr>
                <w:rFonts w:ascii="Times New Roman" w:hAnsi="Times New Roman" w:cs="Times New Roman"/>
                <w:b/>
                <w:bCs/>
                <w:sz w:val="28"/>
                <w:szCs w:val="28"/>
                <w:lang w:val="ru-RU"/>
              </w:rPr>
              <w:t> року</w:t>
            </w:r>
          </w:p>
          <w:p w14:paraId="62CF574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 етап – письмове тестування на знання законодавства України у сфері </w:t>
            </w:r>
            <w:r>
              <w:rPr>
                <w:rFonts w:ascii="Times New Roman" w:hAnsi="Times New Roman" w:cs="Times New Roman"/>
                <w:sz w:val="28"/>
                <w:szCs w:val="28"/>
              </w:rPr>
              <w:t>загальної середньої освіти</w:t>
            </w:r>
            <w:r>
              <w:rPr>
                <w:rFonts w:ascii="Times New Roman" w:hAnsi="Times New Roman" w:cs="Times New Roman"/>
                <w:sz w:val="28"/>
                <w:szCs w:val="28"/>
                <w:lang w:val="ru-RU"/>
              </w:rPr>
              <w:t>;</w:t>
            </w:r>
          </w:p>
          <w:p w14:paraId="4754FC5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ІІ етап – </w:t>
            </w:r>
            <w:r>
              <w:rPr>
                <w:rFonts w:ascii="Times New Roman" w:hAnsi="Times New Roman" w:cs="Times New Roman"/>
                <w:sz w:val="28"/>
                <w:szCs w:val="28"/>
              </w:rPr>
              <w:t>вирішення письмового ситуаційного завдання на знання професійних компетентностей</w:t>
            </w:r>
            <w:r>
              <w:rPr>
                <w:rFonts w:ascii="Times New Roman" w:hAnsi="Times New Roman" w:cs="Times New Roman"/>
                <w:sz w:val="28"/>
                <w:szCs w:val="28"/>
                <w:lang w:val="ru-RU"/>
              </w:rPr>
              <w:t>;</w:t>
            </w:r>
          </w:p>
          <w:p w14:paraId="22616781"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ІІІ етап – презентація перспективного плану розвитку закладу загальної середньої освіти.</w:t>
            </w:r>
          </w:p>
          <w:p w14:paraId="0DCC87CC"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Визначення переможця конкурсу або визнання конкурсу таким, що не відбувся </w:t>
            </w:r>
            <w:r>
              <w:rPr>
                <w:rFonts w:ascii="Times New Roman" w:hAnsi="Times New Roman" w:cs="Times New Roman"/>
                <w:sz w:val="28"/>
                <w:szCs w:val="28"/>
              </w:rPr>
              <w:t>(в день проведення презентації плану розвитку закладу освіти).</w:t>
            </w:r>
          </w:p>
          <w:p w14:paraId="7A825EF8"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Оприлюднення результатів конкурсу (упродовж трьох робочих днів з дня закінчення конкурсу).</w:t>
            </w:r>
          </w:p>
        </w:tc>
      </w:tr>
      <w:tr w:rsidR="008F7A21" w14:paraId="5615ADBB"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7E5DFBCD"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Інформація щодо завдань конкурсного відбору</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7691E546"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xml:space="preserve">Зразок ситуаційного завдання та критерії оцінювання тестувань і завдань, примірний перелік питань для перевірки знання законодавства у сфері загальної середньої освіти розміщені  на офіційному вебсайті  сільської ради у розділі «Для громадян», підрозділ «Освіта», рубрика «Конкурс на посаду директорів закладів загальної середньої освіти» або за посиланням </w:t>
            </w:r>
            <w:hyperlink r:id="rId8" w:history="1">
              <w:r>
                <w:rPr>
                  <w:rStyle w:val="a3"/>
                  <w:rFonts w:ascii="Times New Roman" w:hAnsi="Times New Roman" w:cs="Times New Roman"/>
                  <w:sz w:val="28"/>
                  <w:szCs w:val="28"/>
                </w:rPr>
                <w:t>https://kam-rada.gov.ua/dlja-gromadjan/osvita/konkurs-na-posadu-direktoriv-zakladiv-zagalnoji-serednoji-osviti.html</w:t>
              </w:r>
            </w:hyperlink>
            <w:r>
              <w:rPr>
                <w:rFonts w:ascii="Times New Roman" w:hAnsi="Times New Roman" w:cs="Times New Roman"/>
                <w:sz w:val="28"/>
                <w:szCs w:val="28"/>
              </w:rPr>
              <w:t xml:space="preserve"> </w:t>
            </w:r>
          </w:p>
        </w:tc>
      </w:tr>
      <w:tr w:rsidR="008F7A21" w14:paraId="4340DC39" w14:textId="77777777">
        <w:tc>
          <w:tcPr>
            <w:tcW w:w="2693" w:type="dxa"/>
            <w:gridSpan w:val="2"/>
            <w:tcBorders>
              <w:top w:val="nil"/>
              <w:left w:val="single" w:sz="8" w:space="0" w:color="auto"/>
              <w:bottom w:val="single" w:sz="8" w:space="0" w:color="auto"/>
              <w:right w:val="single" w:sz="8" w:space="0" w:color="auto"/>
            </w:tcBorders>
            <w:shd w:val="clear" w:color="auto" w:fill="FFFFFF"/>
            <w:tcMar>
              <w:top w:w="150" w:type="dxa"/>
              <w:left w:w="150" w:type="dxa"/>
              <w:bottom w:w="150" w:type="dxa"/>
              <w:right w:w="150" w:type="dxa"/>
            </w:tcMar>
          </w:tcPr>
          <w:p w14:paraId="18B6D027" w14:textId="77777777" w:rsidR="008F7A21" w:rsidRDefault="00000000">
            <w:pPr>
              <w:rPr>
                <w:rFonts w:ascii="Times New Roman" w:hAnsi="Times New Roman" w:cs="Times New Roman"/>
                <w:sz w:val="28"/>
                <w:szCs w:val="28"/>
              </w:rPr>
            </w:pPr>
            <w:r>
              <w:rPr>
                <w:rFonts w:ascii="Times New Roman" w:hAnsi="Times New Roman" w:cs="Times New Roman"/>
                <w:sz w:val="28"/>
                <w:szCs w:val="28"/>
                <w:lang w:val="ru-RU"/>
              </w:rPr>
              <w:t>Процедура проведення етапів конкурсу на</w:t>
            </w:r>
            <w:r>
              <w:rPr>
                <w:rFonts w:ascii="Times New Roman" w:hAnsi="Times New Roman" w:cs="Times New Roman"/>
                <w:sz w:val="28"/>
                <w:szCs w:val="28"/>
              </w:rPr>
              <w:t> посаду керівника закладу загальної середньої освіти</w:t>
            </w:r>
          </w:p>
        </w:tc>
        <w:tc>
          <w:tcPr>
            <w:tcW w:w="7230" w:type="dxa"/>
            <w:tcBorders>
              <w:top w:val="nil"/>
              <w:left w:val="nil"/>
              <w:bottom w:val="single" w:sz="8" w:space="0" w:color="auto"/>
              <w:right w:val="single" w:sz="8" w:space="0" w:color="auto"/>
            </w:tcBorders>
            <w:shd w:val="clear" w:color="auto" w:fill="FFFFFF"/>
            <w:tcMar>
              <w:top w:w="150" w:type="dxa"/>
              <w:left w:w="150" w:type="dxa"/>
              <w:bottom w:w="150" w:type="dxa"/>
              <w:right w:w="150" w:type="dxa"/>
            </w:tcMar>
            <w:vAlign w:val="bottom"/>
          </w:tcPr>
          <w:p w14:paraId="385C2D41"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xml:space="preserve">Процедура проведення конкурсу на вакантні посади визначена у Положенні про конкурс на посаду керівника комунального закладу загальної середньої освіти Кам’янської сільської ради, затвердженому рішенням сесії сільської ради від 07.05.2026 № 2567 «Про затвердження Положення про про конкурс на посаду керівника комунального закладу загальної </w:t>
            </w:r>
            <w:r>
              <w:rPr>
                <w:rFonts w:ascii="Times New Roman" w:hAnsi="Times New Roman" w:cs="Times New Roman"/>
                <w:sz w:val="28"/>
                <w:szCs w:val="28"/>
              </w:rPr>
              <w:lastRenderedPageBreak/>
              <w:t xml:space="preserve">середньої освіти Кам’янської сільської ради», розміщене за посиланням </w:t>
            </w:r>
            <w:hyperlink r:id="rId9" w:history="1">
              <w:r>
                <w:rPr>
                  <w:rStyle w:val="a3"/>
                  <w:rFonts w:ascii="Times New Roman" w:hAnsi="Times New Roman" w:cs="Times New Roman"/>
                  <w:sz w:val="28"/>
                  <w:szCs w:val="28"/>
                </w:rPr>
                <w:t>https://kam-rada.gov.ua/dlja-gromadjan/osvita/konkurs-na-posadu-direktoriv-zakladiv-zagalnoji-serednoji-osviti.html</w:t>
              </w:r>
            </w:hyperlink>
            <w:r>
              <w:rPr>
                <w:rFonts w:ascii="Times New Roman" w:hAnsi="Times New Roman" w:cs="Times New Roman"/>
                <w:sz w:val="28"/>
                <w:szCs w:val="28"/>
              </w:rPr>
              <w:t>.</w:t>
            </w:r>
          </w:p>
        </w:tc>
      </w:tr>
      <w:tr w:rsidR="008F7A21" w14:paraId="53F423EC" w14:textId="77777777">
        <w:tc>
          <w:tcPr>
            <w:tcW w:w="2985" w:type="dxa"/>
            <w:tcBorders>
              <w:top w:val="nil"/>
              <w:left w:val="nil"/>
              <w:bottom w:val="nil"/>
              <w:right w:val="nil"/>
            </w:tcBorders>
            <w:shd w:val="clear" w:color="auto" w:fill="FFFFFF"/>
            <w:vAlign w:val="center"/>
          </w:tcPr>
          <w:p w14:paraId="2A4D46BB"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lastRenderedPageBreak/>
              <w:t> </w:t>
            </w:r>
          </w:p>
        </w:tc>
        <w:tc>
          <w:tcPr>
            <w:tcW w:w="135" w:type="dxa"/>
            <w:tcBorders>
              <w:top w:val="nil"/>
              <w:left w:val="nil"/>
              <w:bottom w:val="nil"/>
              <w:right w:val="nil"/>
            </w:tcBorders>
            <w:shd w:val="clear" w:color="auto" w:fill="FFFFFF"/>
            <w:vAlign w:val="center"/>
          </w:tcPr>
          <w:p w14:paraId="719F4D78"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w:t>
            </w:r>
          </w:p>
        </w:tc>
        <w:tc>
          <w:tcPr>
            <w:tcW w:w="6795" w:type="dxa"/>
            <w:tcBorders>
              <w:top w:val="nil"/>
              <w:left w:val="nil"/>
              <w:bottom w:val="nil"/>
              <w:right w:val="nil"/>
            </w:tcBorders>
            <w:shd w:val="clear" w:color="auto" w:fill="FFFFFF"/>
            <w:vAlign w:val="center"/>
          </w:tcPr>
          <w:p w14:paraId="076BF71F"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w:t>
            </w:r>
          </w:p>
        </w:tc>
      </w:tr>
    </w:tbl>
    <w:p w14:paraId="5812EF65" w14:textId="77777777" w:rsidR="008F7A21" w:rsidRDefault="00000000">
      <w:pPr>
        <w:rPr>
          <w:rFonts w:ascii="Times New Roman" w:hAnsi="Times New Roman" w:cs="Times New Roman"/>
          <w:sz w:val="28"/>
          <w:szCs w:val="28"/>
        </w:rPr>
      </w:pPr>
      <w:r>
        <w:rPr>
          <w:rFonts w:ascii="Times New Roman" w:hAnsi="Times New Roman" w:cs="Times New Roman"/>
          <w:sz w:val="28"/>
          <w:szCs w:val="28"/>
        </w:rPr>
        <w:t> </w:t>
      </w:r>
    </w:p>
    <w:p w14:paraId="6976EDA6" w14:textId="77777777" w:rsidR="008F7A21" w:rsidRDefault="00000000">
      <w:pPr>
        <w:rPr>
          <w:rFonts w:ascii="Times New Roman" w:hAnsi="Times New Roman" w:cs="Times New Roman"/>
          <w:sz w:val="28"/>
          <w:szCs w:val="28"/>
        </w:rPr>
      </w:pPr>
      <w:r>
        <w:rPr>
          <w:rFonts w:ascii="Times New Roman" w:hAnsi="Times New Roman" w:cs="Times New Roman"/>
          <w:b/>
          <w:bCs/>
          <w:i/>
          <w:iCs/>
          <w:sz w:val="28"/>
          <w:szCs w:val="28"/>
        </w:rPr>
        <w:t> </w:t>
      </w:r>
    </w:p>
    <w:p w14:paraId="1287F218" w14:textId="77777777" w:rsidR="008F7A21" w:rsidRDefault="00000000">
      <w:pPr>
        <w:rPr>
          <w:rFonts w:ascii="Times New Roman" w:hAnsi="Times New Roman" w:cs="Times New Roman"/>
          <w:sz w:val="28"/>
          <w:szCs w:val="28"/>
        </w:rPr>
      </w:pPr>
      <w:r>
        <w:rPr>
          <w:rFonts w:ascii="Times New Roman" w:hAnsi="Times New Roman" w:cs="Times New Roman"/>
          <w:b/>
          <w:bCs/>
          <w:i/>
          <w:iCs/>
          <w:sz w:val="28"/>
          <w:szCs w:val="28"/>
        </w:rPr>
        <w:t> </w:t>
      </w:r>
    </w:p>
    <w:p w14:paraId="045F2EB5" w14:textId="77777777" w:rsidR="008F7A21" w:rsidRDefault="008F7A21">
      <w:pPr>
        <w:rPr>
          <w:rFonts w:ascii="Times New Roman" w:hAnsi="Times New Roman" w:cs="Times New Roman"/>
          <w:sz w:val="28"/>
          <w:szCs w:val="28"/>
        </w:rPr>
      </w:pPr>
    </w:p>
    <w:sectPr w:rsidR="008F7A2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893E8" w14:textId="77777777" w:rsidR="008A583A" w:rsidRDefault="008A583A">
      <w:pPr>
        <w:spacing w:line="240" w:lineRule="auto"/>
      </w:pPr>
      <w:r>
        <w:separator/>
      </w:r>
    </w:p>
  </w:endnote>
  <w:endnote w:type="continuationSeparator" w:id="0">
    <w:p w14:paraId="3EFD342A" w14:textId="77777777" w:rsidR="008A583A" w:rsidRDefault="008A5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0159" w14:textId="77777777" w:rsidR="008A583A" w:rsidRDefault="008A583A">
      <w:pPr>
        <w:spacing w:after="0"/>
      </w:pPr>
      <w:r>
        <w:separator/>
      </w:r>
    </w:p>
  </w:footnote>
  <w:footnote w:type="continuationSeparator" w:id="0">
    <w:p w14:paraId="08EA5D6B" w14:textId="77777777" w:rsidR="008A583A" w:rsidRDefault="008A58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36C"/>
    <w:rsid w:val="000A1EE6"/>
    <w:rsid w:val="000F3749"/>
    <w:rsid w:val="00152062"/>
    <w:rsid w:val="001D4CE1"/>
    <w:rsid w:val="00451A57"/>
    <w:rsid w:val="004A2B28"/>
    <w:rsid w:val="0069754B"/>
    <w:rsid w:val="006F72FA"/>
    <w:rsid w:val="008A583A"/>
    <w:rsid w:val="008F7A21"/>
    <w:rsid w:val="009C2E82"/>
    <w:rsid w:val="00A25964"/>
    <w:rsid w:val="00A52C89"/>
    <w:rsid w:val="00A667BE"/>
    <w:rsid w:val="00B0236C"/>
    <w:rsid w:val="00B02F12"/>
    <w:rsid w:val="00B840CA"/>
    <w:rsid w:val="00C20BB5"/>
    <w:rsid w:val="00C64F2A"/>
    <w:rsid w:val="00DC4590"/>
    <w:rsid w:val="3FBA7974"/>
    <w:rsid w:val="73951E8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2BD2"/>
  <w15:docId w15:val="{1F1E3D47-41FA-4E2B-805B-5F95D86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Subtitle"/>
    <w:basedOn w:val="a"/>
    <w:next w:val="a"/>
    <w:link w:val="a5"/>
    <w:uiPriority w:val="11"/>
    <w:qFormat/>
    <w:rPr>
      <w:rFonts w:eastAsiaTheme="majorEastAsia" w:cstheme="majorBidi"/>
      <w:color w:val="595959" w:themeColor="text1" w:themeTint="A6"/>
      <w:spacing w:val="15"/>
      <w:sz w:val="28"/>
      <w:szCs w:val="28"/>
    </w:rPr>
  </w:style>
  <w:style w:type="paragraph" w:styleId="a6">
    <w:name w:val="Title"/>
    <w:basedOn w:val="a"/>
    <w:next w:val="a"/>
    <w:link w:val="a7"/>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7">
    <w:name w:val="Назва Знак"/>
    <w:basedOn w:val="a0"/>
    <w:link w:val="a6"/>
    <w:uiPriority w:val="10"/>
    <w:qFormat/>
    <w:rPr>
      <w:rFonts w:asciiTheme="majorHAnsi" w:eastAsiaTheme="majorEastAsia" w:hAnsiTheme="majorHAnsi" w:cstheme="majorBidi"/>
      <w:spacing w:val="-10"/>
      <w:kern w:val="28"/>
      <w:sz w:val="56"/>
      <w:szCs w:val="56"/>
    </w:rPr>
  </w:style>
  <w:style w:type="character" w:customStyle="1" w:styleId="a5">
    <w:name w:val="Підзаголовок Знак"/>
    <w:basedOn w:val="a0"/>
    <w:link w:val="a4"/>
    <w:uiPriority w:val="11"/>
    <w:qFormat/>
    <w:rPr>
      <w:rFonts w:eastAsiaTheme="majorEastAsia" w:cstheme="majorBidi"/>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Цитата Знак"/>
    <w:basedOn w:val="a0"/>
    <w:link w:val="a8"/>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Сильне виокремлення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qFormat/>
    <w:rPr>
      <w:i/>
      <w:iCs/>
      <w:color w:val="2F5496" w:themeColor="accent1" w:themeShade="BF"/>
    </w:rPr>
  </w:style>
  <w:style w:type="character" w:customStyle="1" w:styleId="12">
    <w:name w:val="Сильне посилання1"/>
    <w:basedOn w:val="a0"/>
    <w:uiPriority w:val="32"/>
    <w:qFormat/>
    <w:rPr>
      <w:b/>
      <w:bCs/>
      <w:smallCaps/>
      <w:color w:val="2F5496" w:themeColor="accent1" w:themeShade="BF"/>
      <w:spacing w:val="5"/>
    </w:rPr>
  </w:style>
  <w:style w:type="character" w:customStyle="1" w:styleId="13">
    <w:name w:val="Незакрита згадка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kam-rada.gov.ua/dlja-gromadjan/osvita/konkurs-na-posadu-direktoriv-zakladiv-zagalnoji-serednoji-osviti.html" TargetMode="External"/><Relationship Id="rId3" Type="http://schemas.openxmlformats.org/officeDocument/2006/relationships/webSettings" Target="webSettings.xml"/><Relationship Id="rId7" Type="http://schemas.openxmlformats.org/officeDocument/2006/relationships/hyperlink" Target="http://zakon5.rada.gov.ua/laws/show/2297-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82-1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am-rada.gov.ua/dlja-gromadjan/osvita/konkurs-na-posadu-direktoriv-zakladiv-zagalnoji-serednoji-osviti.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5141</Words>
  <Characters>2931</Characters>
  <Application>Microsoft Office Word</Application>
  <DocSecurity>0</DocSecurity>
  <Lines>24</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Кузьма</dc:creator>
  <cp:lastModifiedBy>Наталія Кузьма</cp:lastModifiedBy>
  <cp:revision>8</cp:revision>
  <dcterms:created xsi:type="dcterms:W3CDTF">2026-06-11T10:09:00Z</dcterms:created>
  <dcterms:modified xsi:type="dcterms:W3CDTF">2026-07-15T12:18:00Z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BE6E86E52C4F4FA992291D39F5F4A950_12</vt:lpwstr>
  </property>
</Properties>
</file>