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49E6" w14:textId="3BE24C56" w:rsidR="000E59A1" w:rsidRPr="000E59A1" w:rsidRDefault="000E59A1" w:rsidP="000E5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</w:pPr>
      <w:r w:rsidRPr="000E59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Оцінка виконання вимог регуляторного </w:t>
      </w:r>
      <w:proofErr w:type="spellStart"/>
      <w:r w:rsidRPr="000E59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акта</w:t>
      </w:r>
      <w:proofErr w:type="spellEnd"/>
      <w:r w:rsidRPr="000E59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залежно від ресурсів, якими розпоряджаються органи місцевого самоврядування, фізичні та юридичні особи, які повинні впроваджувати або виконувати ці вимоги</w:t>
      </w:r>
    </w:p>
    <w:p w14:paraId="3168CBCB" w14:textId="77777777" w:rsidR="000E59A1" w:rsidRPr="000E59A1" w:rsidRDefault="000E59A1" w:rsidP="000E5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</w:pPr>
      <w:r w:rsidRPr="000E59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ТЕСТ малого підприємництва (М-ТЕСТ)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</w:t>
      </w:r>
      <w:r w:rsidRPr="000E59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рішення </w:t>
      </w:r>
      <w:proofErr w:type="spellStart"/>
      <w:r w:rsidRPr="000E59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Кам’янської</w:t>
      </w:r>
      <w:proofErr w:type="spellEnd"/>
      <w:r w:rsidRPr="000E59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сільської ради «Про затвердження Правил благоустрою території населених пунктів </w:t>
      </w:r>
      <w:proofErr w:type="spellStart"/>
      <w:r w:rsidRPr="000E59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Кам’янської</w:t>
      </w:r>
      <w:proofErr w:type="spellEnd"/>
      <w:r w:rsidRPr="000E59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сільської ради»</w:t>
      </w:r>
    </w:p>
    <w:p w14:paraId="3EE7EC93" w14:textId="1C5F0B2E" w:rsidR="000E59A1" w:rsidRPr="000E59A1" w:rsidRDefault="000E59A1" w:rsidP="000E59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</w:pPr>
    </w:p>
    <w:p w14:paraId="008481DC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14:paraId="76769668" w14:textId="77777777" w:rsidR="000E59A1" w:rsidRPr="00AA236D" w:rsidRDefault="000E59A1" w:rsidP="000E59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Конс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ультації з представниками малих підприємств</w:t>
      </w: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фізичних осіб-підприємців</w:t>
      </w: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щодо оцінки впливу регулювання</w:t>
      </w:r>
    </w:p>
    <w:p w14:paraId="3E750A8B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15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12.2024  по 31.12.2024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 включно.</w:t>
      </w: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14:paraId="2B225821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14:paraId="5F9BB776" w14:textId="77777777" w:rsidR="000E59A1" w:rsidRPr="00AA236D" w:rsidRDefault="000E59A1" w:rsidP="000E59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Вимірювання впливу регулювання на суб’єктів мал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ого підприємництва   (малих підприємств та фізичних осіб-підприємців</w:t>
      </w: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):</w:t>
      </w:r>
    </w:p>
    <w:p w14:paraId="73DA2306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Кількість суб’єктів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-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мал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их підприємств та фізичних осіб-підприємців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на як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их поширюється регулювання: 246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одиниць;</w:t>
      </w:r>
    </w:p>
    <w:p w14:paraId="127E925F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питома вага суб’єктів малого підприємництва у загальній кількості суб’єктів господарювання, на яких проблема справляє вплив 100% (відповідно до таблиці “Оцінка впливу на сферу інтересів суб’єктів господарювання” додатка 1 до Методики проведення аналізу впливу регуляторного акту).</w:t>
      </w:r>
    </w:p>
    <w:p w14:paraId="1CC1FD49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14:paraId="591EAAE4" w14:textId="77777777" w:rsidR="000E59A1" w:rsidRPr="00AA236D" w:rsidRDefault="000E59A1" w:rsidP="000E59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Розрахунок витрат суб’єктів малого підприємництва на виконання вимог регулювання (грн.)</w:t>
      </w:r>
    </w:p>
    <w:p w14:paraId="088ED0B6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  </w:t>
      </w:r>
    </w:p>
    <w:tbl>
      <w:tblPr>
        <w:tblW w:w="10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77"/>
        <w:gridCol w:w="4525"/>
        <w:gridCol w:w="2126"/>
        <w:gridCol w:w="1560"/>
        <w:gridCol w:w="1275"/>
      </w:tblGrid>
      <w:tr w:rsidR="000E59A1" w:rsidRPr="00AA236D" w14:paraId="6AE2F3A4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8E7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357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оцінки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FB01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перший рік (стартовий рік впровадження регулювання)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408C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Періодичні (за наступний рік)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07AC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Витрати за п’ять років</w:t>
            </w:r>
          </w:p>
        </w:tc>
      </w:tr>
      <w:tr w:rsidR="000E59A1" w:rsidRPr="00AA236D" w14:paraId="4E8C26D2" w14:textId="77777777" w:rsidTr="00F8232B">
        <w:tc>
          <w:tcPr>
            <w:tcW w:w="102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9C23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0E59A1" w:rsidRPr="00AA236D" w14:paraId="0AA832D0" w14:textId="77777777" w:rsidTr="00F8232B"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A2FA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268E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 необхідного обладнання (пристроїв, машин, механізмів)</w:t>
            </w:r>
          </w:p>
          <w:p w14:paraId="533EC33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Формула: кількість необхідних одиниць обладнання Х вартість одиниці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45E17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A5FE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596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3A9704C1" w14:textId="77777777" w:rsidTr="00F8232B"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151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0617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5608A03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Формула: прямі витрати на процедури повірки (проведення 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68950" w14:textId="77777777" w:rsidR="000E59A1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не</w:t>
            </w:r>
          </w:p>
          <w:p w14:paraId="43FE9229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A0F6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DBA7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1735457F" w14:textId="77777777" w:rsidTr="00F8232B"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E295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3F40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Процедури експлуатації обладнання (експлуатаційні витрати – витратні матеріали)</w:t>
            </w:r>
          </w:p>
          <w:p w14:paraId="40D55DB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Формула: оцінка витрат на експлуатацію обладнання (витратні матеріали та ресурси на одиницю обладнання на рік) Х кількість необхідних одиниць обладнання одному суб’єкту малого підприємництва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705A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</w:t>
            </w:r>
          </w:p>
          <w:p w14:paraId="51D806FC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C6A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24EC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2A3AC822" w14:textId="77777777" w:rsidTr="00F8232B"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CFC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A2F4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Процедури обслуговування обладнання (технічне обслуговування)</w:t>
            </w:r>
          </w:p>
          <w:p w14:paraId="22E47C8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Формула: оцінка вартості процедури обслуговування обладнання (на одиницю обладнання) Х кількість процедур технічного обслуговування на рік на одиницю обладнання Х кількість необхідних одиниць обладнання одному суб’єкту малого підприємництва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B0B2F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</w:t>
            </w:r>
          </w:p>
          <w:p w14:paraId="1B38DB60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4A86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1A1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7671EE08" w14:textId="77777777" w:rsidTr="00F8232B"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7E8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6B3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Інші процедури (уточнити)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28B2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</w:t>
            </w:r>
          </w:p>
          <w:p w14:paraId="2C95EBBD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1788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A3FE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24E0A0CE" w14:textId="77777777" w:rsidTr="00F8232B"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5B1C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2D9E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Разом, гривень (формула: сума рядків 1+2+3+4+5)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EDB0C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</w:t>
            </w:r>
          </w:p>
          <w:p w14:paraId="1C162A90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899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93C7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3B17EAD0" w14:textId="77777777" w:rsidTr="00F8232B"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CBF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D8C8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4144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B5C8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8CA5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6E708B27" w14:textId="77777777" w:rsidTr="00F8232B"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7FAD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E1D2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Сумарно, гривень </w:t>
            </w:r>
            <w:r w:rsidRPr="00AA23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формула: відповідний стовпчик «разом» Х кількість суб’єктів  малого підприємництва, що повинні 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виконати вимоги регулювання (рядок 6 х рядок 7)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EA1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E368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F74C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3A2E80D1" w14:textId="77777777" w:rsidTr="00F8232B">
        <w:tc>
          <w:tcPr>
            <w:tcW w:w="102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7373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0E59A1" w:rsidRPr="00AA236D" w14:paraId="4B7EE1E7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0963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E752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Процедури отримання первинної інформації про вимоги регулювання</w:t>
            </w:r>
          </w:p>
          <w:p w14:paraId="2ABFFD4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Формула: 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37C0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A1B7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BA46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0D805336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D36B4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884C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Процедури організації виконання вимог регулювання</w:t>
            </w:r>
          </w:p>
          <w:p w14:paraId="1CAAF45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Формула: 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CF8A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C4EA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3102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32C0D0EB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4EF5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DF92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Процедури офіційного звітування</w:t>
            </w:r>
          </w:p>
          <w:p w14:paraId="6F2D0BC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Формула: 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</w:t>
            </w:r>
            <w:r w:rsidRPr="00AA23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оригінальних звітів Х кількість періодів звітності за рік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91E9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не 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67BB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4E98F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39146853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832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3BA2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Процедури щодо забезпечення процесу перевірок</w:t>
            </w:r>
          </w:p>
          <w:p w14:paraId="6489201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Формула: 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1F05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E4AD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0EA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26A89245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067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62D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 процедури (уточнити)</w:t>
            </w:r>
          </w:p>
          <w:p w14:paraId="631C8024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Підготовка документів на конкурс (написання заяви, ксерокопія документів, відправка конверта тощо)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CC65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1A23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E58F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0CBC8541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01A1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5A09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Разом, гривень</w:t>
            </w:r>
          </w:p>
          <w:p w14:paraId="5C1EE8E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Формула: (сума рядків  9+10+11+12+13)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A695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7427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E64C4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271EAE42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0BE1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A64E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CFFBA" w14:textId="77777777" w:rsidR="000E59A1" w:rsidRPr="00AA236D" w:rsidRDefault="000E59A1" w:rsidP="00F8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634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6DE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4F918835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E44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6655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Сумарно, гривень</w:t>
            </w:r>
          </w:p>
          <w:p w14:paraId="135BA99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Формула:</w:t>
            </w:r>
          </w:p>
          <w:p w14:paraId="3E866CD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B0DB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8E3A4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1E81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7ED0AFCF" w14:textId="77777777" w:rsidTr="00F8232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3288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6A3A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102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CE7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90E44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086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14:paraId="26F58838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14:paraId="3477951A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14:paraId="6A9FC83B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Бюджетні витрати на адміністрування регулювання суб’єктів малого підприємництва</w:t>
      </w:r>
    </w:p>
    <w:p w14:paraId="0ED16BB5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Розрахунок бюджетних витрат на адміністрування регулювання здійснюється окремо для органу місцевого самоврядування, що залучений до процесу регулювання.</w:t>
      </w:r>
    </w:p>
    <w:p w14:paraId="131DC44A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Орган місцевого самоврядування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для якого здійснюється розрахунок вартості адміністрування регулювання:</w:t>
      </w:r>
    </w:p>
    <w:p w14:paraId="780013EF" w14:textId="77777777" w:rsidR="000E59A1" w:rsidRPr="00DE53BC" w:rsidRDefault="000E59A1" w:rsidP="000E59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Кам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янська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сільська рада</w:t>
      </w:r>
    </w:p>
    <w:tbl>
      <w:tblPr>
        <w:tblW w:w="10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1533"/>
        <w:gridCol w:w="1965"/>
        <w:gridCol w:w="1470"/>
        <w:gridCol w:w="1583"/>
        <w:gridCol w:w="1492"/>
        <w:gridCol w:w="62"/>
        <w:gridCol w:w="38"/>
      </w:tblGrid>
      <w:tr w:rsidR="000E59A1" w:rsidRPr="00AA236D" w14:paraId="1FEE86CC" w14:textId="77777777" w:rsidTr="00F8232B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9BBD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Процедура регулювання суб’єктів малого підприємництва (розрахунок на одного типового суб’єкта 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господарювання малого підприємництва - за потреби окремо для суб’єктів малого та мікро-підприємств)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4FC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Планові витрати часу на процедуру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0D89" w14:textId="77777777" w:rsidR="000E59A1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Вартість часу співробітника органу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місцевого</w:t>
            </w:r>
          </w:p>
          <w:p w14:paraId="02A919DD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самоврядування 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відповідної категорії 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(заробітна плата)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E5A3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Оцінка кількості процедур за рік, що припадають на одного суб’єкта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37A74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Оцінка кількості суб’єктів, що підпадають під дію 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процедури регулювання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D95A0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Витрати на адміністрування </w:t>
            </w:r>
            <w:proofErr w:type="spellStart"/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регулюван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ня* (за рік), гривень</w:t>
            </w:r>
          </w:p>
        </w:tc>
        <w:tc>
          <w:tcPr>
            <w:tcW w:w="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1DAA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59A1" w:rsidRPr="00AA236D" w14:paraId="1F521232" w14:textId="77777777" w:rsidTr="00F8232B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0E3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1.Облік суб’єкта господарювання, що перебуває у сфері регулювання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B054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62D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D658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2E2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66D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BE87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59A1" w:rsidRPr="00AA236D" w14:paraId="34323675" w14:textId="77777777" w:rsidTr="00F8232B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D06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Поточний контроль за суб’єктом господарювання, що перебуває у сфері регулювання, у тому числі:</w:t>
            </w:r>
          </w:p>
          <w:p w14:paraId="1097906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Камеральні/виїзні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C885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1год.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7CDF9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584C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480E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2861F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0296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59A1" w:rsidRPr="00AA236D" w14:paraId="65C3F747" w14:textId="77777777" w:rsidTr="00F8232B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FE3A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Підготовка, затвердження та опрацювання одного окремого акту про порушення вимог регулювання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132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55DD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DFFA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C84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AD2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D7F9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59A1" w:rsidRPr="00AA236D" w14:paraId="56AC7464" w14:textId="77777777" w:rsidTr="00F8232B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469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A187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98DB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2C7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339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9F794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CCC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59A1" w:rsidRPr="00AA236D" w14:paraId="518A3144" w14:textId="77777777" w:rsidTr="00F8232B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A08B4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CBC3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CF66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67DC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4256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4EF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100D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59A1" w:rsidRPr="00AA236D" w14:paraId="71A3F7A1" w14:textId="77777777" w:rsidTr="00F8232B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0CC8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6. Підготовка звітності за результатами регулювання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3342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59A1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4FBA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48A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BFD5F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40E4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59A1" w:rsidRPr="00AA236D" w14:paraId="06FDF0DC" w14:textId="77777777" w:rsidTr="00F8232B">
        <w:trPr>
          <w:gridAfter w:val="1"/>
          <w:wAfter w:w="38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FCCD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 Інші адміністративні процедури (уточнити)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2C0A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5B15F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2FC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09E5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6BC4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45AD4486" w14:textId="77777777" w:rsidTr="00F8232B">
        <w:trPr>
          <w:gridAfter w:val="1"/>
          <w:wAfter w:w="38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34E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37B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571C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A5EB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F9B1F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EC08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59524342" w14:textId="77777777" w:rsidTr="00F8232B">
        <w:trPr>
          <w:gridAfter w:val="1"/>
          <w:wAfter w:w="38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AB314" w14:textId="77777777" w:rsidR="000E59A1" w:rsidRPr="00AA236D" w:rsidRDefault="000E59A1" w:rsidP="00F8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Сумарно за п’ять років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4DD6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C22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8D0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6CE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EB85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</w:tbl>
    <w:p w14:paraId="43EB2599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Державне регулювання не передбачає утворення нового органу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місцевого самоврядування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(або нового структурного підрозділу діючого органу)</w:t>
      </w:r>
    </w:p>
    <w:tbl>
      <w:tblPr>
        <w:tblW w:w="10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057"/>
        <w:gridCol w:w="2282"/>
        <w:gridCol w:w="4875"/>
      </w:tblGrid>
      <w:tr w:rsidR="000E59A1" w:rsidRPr="00AA236D" w14:paraId="71D04188" w14:textId="77777777" w:rsidTr="00F8232B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E4AA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D97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 органу місцевого самоврядування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191B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Витрати на адміністрування регулювання за рік, гривень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D6F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Сумарні витрати на адміністрування регулювання за п’ять років, гривень</w:t>
            </w:r>
          </w:p>
        </w:tc>
      </w:tr>
      <w:tr w:rsidR="000E59A1" w:rsidRPr="00AA236D" w14:paraId="70236923" w14:textId="77777777" w:rsidTr="00F8232B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034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CB06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8267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7EB1C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</w:tbl>
    <w:p w14:paraId="198546FF" w14:textId="77777777" w:rsidR="000E59A1" w:rsidRPr="00AA236D" w:rsidRDefault="000E59A1" w:rsidP="000E59A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Розрахунок сумарних витрат суб’єктів малого підприємництва, що виникають на виконання вимог регулювання</w:t>
      </w:r>
    </w:p>
    <w:tbl>
      <w:tblPr>
        <w:tblW w:w="10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380"/>
        <w:gridCol w:w="1721"/>
        <w:gridCol w:w="5113"/>
      </w:tblGrid>
      <w:tr w:rsidR="000E59A1" w:rsidRPr="00AA236D" w14:paraId="6463FF0B" w14:textId="77777777" w:rsidTr="00F8232B"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1720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0B57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E42D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Перший рік регулювання (стартовий)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6025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5 років</w:t>
            </w:r>
          </w:p>
        </w:tc>
      </w:tr>
      <w:tr w:rsidR="000E59A1" w:rsidRPr="00AA236D" w14:paraId="396F64AF" w14:textId="77777777" w:rsidTr="00F8232B"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C417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E88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 «прямих» витрат суб’єктів малого підприємництва на виконання регулювання, грн.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D1241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21C9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6E2EAA24" w14:textId="77777777" w:rsidTr="00F8232B"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65E6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2EB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 вартості адміністративних процедур для суб’єктів малого підприємництва щодо виконання регулювання та звітування, грн.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95E3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083D8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761EA3B1" w14:textId="77777777" w:rsidTr="00F8232B"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21B85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67B47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Сумарні витрати малого підприємництва  на виконання </w:t>
            </w: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запланованого регулювання, грн. (сума рядків 1 та 2 цієї таблиці)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45B50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E41A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4339784D" w14:textId="77777777" w:rsidTr="00F8232B"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AACDF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6AC52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Бюджетні витрати на адміністрування регулювання суб'єктів малого підприємництва, грн.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DA04E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B93FF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E59A1" w:rsidRPr="00AA236D" w14:paraId="189E08EC" w14:textId="77777777" w:rsidTr="00F8232B"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F393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FA7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Сумарні витрати на виконання запланованого регулювання, грн. (сума рядків 3 та 4 цієї таблиці)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95336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305D" w14:textId="77777777" w:rsidR="000E59A1" w:rsidRPr="00AA236D" w:rsidRDefault="000E59A1" w:rsidP="00F823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3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</w:tbl>
    <w:p w14:paraId="01C914DD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VIІ. Обґрунтування запропонованого строку дії регуляторного акту</w:t>
      </w:r>
    </w:p>
    <w:p w14:paraId="1A320E92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    Строк дії запропонованого регуляторного акту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5 років, оскільки він регулює відносини, які можуть мати змінний  характер. Протягом його дії передбачається покращити благоустрій на територіях населених пунктів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Кам</w:t>
      </w:r>
      <w:r w:rsidRPr="00DE53B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’янської</w:t>
      </w:r>
      <w:proofErr w:type="spellEnd"/>
      <w:r w:rsidRPr="00DE53B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ільської ради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Водночас він може бути змінений на підставі аналізу ефективності його дії, або у зв'язку зі змінами в законодавстві.</w:t>
      </w:r>
    </w:p>
    <w:p w14:paraId="0D65B7EF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Перегляд положень регуляторного акту, його скасування, відміна чи внесення до нього змін, здійснюватиметься відповідно до вимог Закону України "Про засади державної регуляторної політики у сфері господарської діяльності".</w:t>
      </w:r>
    </w:p>
    <w:p w14:paraId="124DFB7B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VIIІ. Визначення показників результативності дії регуляторного акту</w:t>
      </w:r>
    </w:p>
    <w:p w14:paraId="54B5653D" w14:textId="77777777" w:rsidR="000E59A1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  Відстеження результативності регуляторного акту здійснюється у встановленому законодавством порядку за кількісними і якісними показниками з використанням статистичного методу одержання результатів відсте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ження.</w:t>
      </w:r>
    </w:p>
    <w:p w14:paraId="4DF9C0E8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 метою відстеження результативності запропонованого регуляторного акту визначено наступні показники результативності:</w:t>
      </w:r>
    </w:p>
    <w:p w14:paraId="016A65C4" w14:textId="77777777" w:rsidR="000E59A1" w:rsidRPr="00AA236D" w:rsidRDefault="000E59A1" w:rsidP="000E59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Кількість суб’єктів господарювання, щодо яких поширюватиметься дія регуляторного акту -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246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</w:p>
    <w:p w14:paraId="69CECFBD" w14:textId="77777777" w:rsidR="000E59A1" w:rsidRPr="00AA236D" w:rsidRDefault="000E59A1" w:rsidP="000E59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Прогнозована кількість порушень правил благоустрою, які обчислюються відповідно до кількості протоколів про адміністративні правопорушення за ст.152 КУпАП України, 2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шт.</w:t>
      </w:r>
    </w:p>
    <w:p w14:paraId="3E048710" w14:textId="77777777" w:rsidR="000E59A1" w:rsidRPr="00AA236D" w:rsidRDefault="000E59A1" w:rsidP="000E59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Надходження коштів до сільського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бюджету, внаслідок сплачених коштів за порушення, передбачені ст. 152 КУпАП Укра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їни. Прогнозовано:  12000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,00грн.</w:t>
      </w:r>
    </w:p>
    <w:p w14:paraId="4EBE4A5A" w14:textId="77777777" w:rsidR="000E59A1" w:rsidRPr="00AA236D" w:rsidRDefault="000E59A1" w:rsidP="000E59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Витрати сільського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бюдж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ету за один рік складають 11424,00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грн.</w:t>
      </w:r>
    </w:p>
    <w:p w14:paraId="75373ADB" w14:textId="77777777" w:rsidR="000E59A1" w:rsidRPr="00AA236D" w:rsidRDefault="000E59A1" w:rsidP="000E59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Розмір коштів і часу, що витрачатимуться суб’єктами господарювання, пов’язаних із виконанням вимог цього регуляторного акту. Передбачається, витрати часу на процедуру регулювання складуть 1 год. (згідно з М-тестом).</w:t>
      </w:r>
    </w:p>
    <w:p w14:paraId="62D9CD6E" w14:textId="77777777" w:rsidR="000E59A1" w:rsidRPr="00AA236D" w:rsidRDefault="000E59A1" w:rsidP="000E59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 xml:space="preserve">Рівень поінформованості суб’єктів господарювання та/або фізичних осіб з основних положень акту - середній, у зв’язку з тим, що проект регуляторного акту з аналізом регуляторного впливу оприлюднюється на офіційній сторінці в мережі  Інтернет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Кам</w:t>
      </w:r>
      <w:r w:rsidRPr="00DE53B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янської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сільської 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ради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hyperlink r:id="rId5" w:history="1">
        <w:r w:rsidRPr="00DB0A59">
          <w:rPr>
            <w:rStyle w:val="ae"/>
            <w:rFonts w:ascii="Times New Roman" w:eastAsia="Times New Roman" w:hAnsi="Times New Roman" w:cs="Times New Roman"/>
            <w:lang w:val="en-US" w:eastAsia="uk-UA"/>
          </w:rPr>
          <w:t>www</w:t>
        </w:r>
        <w:r w:rsidRPr="00DE53BC">
          <w:rPr>
            <w:rStyle w:val="ae"/>
            <w:rFonts w:ascii="Times New Roman" w:eastAsia="Times New Roman" w:hAnsi="Times New Roman" w:cs="Times New Roman"/>
            <w:lang w:eastAsia="uk-UA"/>
          </w:rPr>
          <w:t>.</w:t>
        </w:r>
        <w:proofErr w:type="spellStart"/>
        <w:r w:rsidRPr="00DB0A59">
          <w:rPr>
            <w:rStyle w:val="ae"/>
            <w:rFonts w:ascii="Times New Roman" w:eastAsia="Times New Roman" w:hAnsi="Times New Roman" w:cs="Times New Roman"/>
            <w:lang w:val="en-US" w:eastAsia="uk-UA"/>
          </w:rPr>
          <w:t>kam</w:t>
        </w:r>
        <w:proofErr w:type="spellEnd"/>
        <w:r w:rsidRPr="00DE53BC">
          <w:rPr>
            <w:rStyle w:val="ae"/>
            <w:rFonts w:ascii="Times New Roman" w:eastAsia="Times New Roman" w:hAnsi="Times New Roman" w:cs="Times New Roman"/>
            <w:lang w:eastAsia="uk-UA"/>
          </w:rPr>
          <w:t>-</w:t>
        </w:r>
        <w:proofErr w:type="spellStart"/>
        <w:r w:rsidRPr="00DB0A59">
          <w:rPr>
            <w:rStyle w:val="ae"/>
            <w:rFonts w:ascii="Times New Roman" w:eastAsia="Times New Roman" w:hAnsi="Times New Roman" w:cs="Times New Roman"/>
            <w:lang w:val="en-US" w:eastAsia="uk-UA"/>
          </w:rPr>
          <w:t>rada</w:t>
        </w:r>
        <w:proofErr w:type="spellEnd"/>
        <w:r w:rsidRPr="00DE53BC">
          <w:rPr>
            <w:rStyle w:val="ae"/>
            <w:rFonts w:ascii="Times New Roman" w:eastAsia="Times New Roman" w:hAnsi="Times New Roman" w:cs="Times New Roman"/>
            <w:lang w:eastAsia="uk-UA"/>
          </w:rPr>
          <w:t>.</w:t>
        </w:r>
        <w:r w:rsidRPr="00DB0A59">
          <w:rPr>
            <w:rStyle w:val="ae"/>
            <w:rFonts w:ascii="Times New Roman" w:eastAsia="Times New Roman" w:hAnsi="Times New Roman" w:cs="Times New Roman"/>
            <w:lang w:val="en-US" w:eastAsia="uk-UA"/>
          </w:rPr>
          <w:t>gov</w:t>
        </w:r>
        <w:r w:rsidRPr="00DE53BC">
          <w:rPr>
            <w:rStyle w:val="ae"/>
            <w:rFonts w:ascii="Times New Roman" w:eastAsia="Times New Roman" w:hAnsi="Times New Roman" w:cs="Times New Roman"/>
            <w:lang w:eastAsia="uk-UA"/>
          </w:rPr>
          <w:t>.</w:t>
        </w:r>
        <w:proofErr w:type="spellStart"/>
        <w:r w:rsidRPr="00DB0A59">
          <w:rPr>
            <w:rStyle w:val="ae"/>
            <w:rFonts w:ascii="Times New Roman" w:eastAsia="Times New Roman" w:hAnsi="Times New Roman" w:cs="Times New Roman"/>
            <w:lang w:val="en-US" w:eastAsia="uk-UA"/>
          </w:rPr>
          <w:t>ua</w:t>
        </w:r>
        <w:proofErr w:type="spellEnd"/>
      </w:hyperlink>
      <w:r w:rsidRPr="00DE53B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</w:p>
    <w:p w14:paraId="58AAE820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ІХ. Визначення заходів, за допомогою яких здійснюватиметься відстеження результативності дії регуляторного акту</w:t>
      </w:r>
    </w:p>
    <w:p w14:paraId="2F97F46F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   Відстеження результативності регуляторного акту здійснюватиметься відді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лом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архітектури,</w:t>
      </w:r>
      <w:r w:rsidRPr="00A362BA">
        <w:rPr>
          <w:rFonts w:ascii="Times New Roman" w:hAnsi="Times New Roman" w:cs="Times New Roman"/>
          <w:sz w:val="28"/>
          <w:szCs w:val="28"/>
          <w:lang w:eastAsia="uk-UA"/>
        </w:rPr>
        <w:t xml:space="preserve"> земельних відносин, житлово-комунального господарства та державного архітектурного контролю </w:t>
      </w:r>
      <w:proofErr w:type="spellStart"/>
      <w:r w:rsidRPr="00A362BA">
        <w:rPr>
          <w:rFonts w:ascii="Times New Roman" w:hAnsi="Times New Roman" w:cs="Times New Roman"/>
          <w:sz w:val="28"/>
          <w:szCs w:val="28"/>
          <w:lang w:eastAsia="uk-UA"/>
        </w:rPr>
        <w:t>Кам’янської</w:t>
      </w:r>
      <w:proofErr w:type="spellEnd"/>
      <w:r w:rsidRPr="00A362BA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шляхом збору та аналізу інформації зацікавлених юридичних та фізичних осіб, зауважень та пропозицій від населення та суб’єктів господарювання, а також статистичної інформації.</w:t>
      </w:r>
    </w:p>
    <w:p w14:paraId="738913DF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  Проведення відстеження результативності буде здійснюватися за допомогою статистичного методу.</w:t>
      </w:r>
    </w:p>
    <w:p w14:paraId="6CCC5223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 Базове відстеження результативності регуляторного акту буде здійснюватися до дня набрання чинності цим регуляторним актом.</w:t>
      </w:r>
    </w:p>
    <w:p w14:paraId="7577F9EE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    Повторне відстеження результативності буде здійснюватися через рік з дня набрання чинності регуляторним актом. </w:t>
      </w:r>
    </w:p>
    <w:p w14:paraId="16BC0AFC" w14:textId="77777777" w:rsidR="000E59A1" w:rsidRPr="00AA236D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 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AA236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Періодичне відстеження здійснюватиметься один раз на три роки починаючи з дня виконання заходів з повторного відстеження.</w:t>
      </w:r>
    </w:p>
    <w:p w14:paraId="46FE3233" w14:textId="77777777" w:rsidR="000E59A1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20D8A166" w14:textId="77777777" w:rsidR="000E59A1" w:rsidRDefault="000E59A1" w:rsidP="000E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446600FC" w14:textId="77777777" w:rsidR="00C64F2A" w:rsidRDefault="00C64F2A"/>
    <w:sectPr w:rsidR="00C64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5FF"/>
    <w:multiLevelType w:val="multilevel"/>
    <w:tmpl w:val="7BD0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20259"/>
    <w:multiLevelType w:val="multilevel"/>
    <w:tmpl w:val="80968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66EE0"/>
    <w:multiLevelType w:val="multilevel"/>
    <w:tmpl w:val="C77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17926"/>
    <w:multiLevelType w:val="multilevel"/>
    <w:tmpl w:val="F162D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A3629"/>
    <w:multiLevelType w:val="multilevel"/>
    <w:tmpl w:val="F032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46576">
    <w:abstractNumId w:val="2"/>
  </w:num>
  <w:num w:numId="2" w16cid:durableId="581452158">
    <w:abstractNumId w:val="3"/>
  </w:num>
  <w:num w:numId="3" w16cid:durableId="1680959682">
    <w:abstractNumId w:val="1"/>
  </w:num>
  <w:num w:numId="4" w16cid:durableId="1162968361">
    <w:abstractNumId w:val="4"/>
  </w:num>
  <w:num w:numId="5" w16cid:durableId="19438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A1"/>
    <w:rsid w:val="000E59A1"/>
    <w:rsid w:val="000F3749"/>
    <w:rsid w:val="0069754B"/>
    <w:rsid w:val="006F72FA"/>
    <w:rsid w:val="00C64F2A"/>
    <w:rsid w:val="00D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83AD"/>
  <w15:chartTrackingRefBased/>
  <w15:docId w15:val="{9495D6FE-0B67-4E49-929D-D8E8D58C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A1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E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E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E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E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A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7071</Words>
  <Characters>4032</Characters>
  <Application>Microsoft Office Word</Application>
  <DocSecurity>0</DocSecurity>
  <Lines>33</Lines>
  <Paragraphs>22</Paragraphs>
  <ScaleCrop>false</ScaleCrop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Кузьма</dc:creator>
  <cp:keywords/>
  <dc:description/>
  <cp:lastModifiedBy>Наталія Кузьма</cp:lastModifiedBy>
  <cp:revision>1</cp:revision>
  <dcterms:created xsi:type="dcterms:W3CDTF">2025-02-28T14:02:00Z</dcterms:created>
  <dcterms:modified xsi:type="dcterms:W3CDTF">2025-02-28T14:03:00Z</dcterms:modified>
</cp:coreProperties>
</file>