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9" w:rsidRDefault="00420E19" w:rsidP="00420E19">
      <w:pPr>
        <w:spacing w:line="326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420E19" w:rsidRPr="00420E19" w:rsidRDefault="00420E19" w:rsidP="00420E19">
      <w:pPr>
        <w:spacing w:line="326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19">
        <w:rPr>
          <w:rStyle w:val="Heading40"/>
          <w:rFonts w:eastAsiaTheme="minorHAnsi"/>
          <w:sz w:val="28"/>
          <w:szCs w:val="28"/>
        </w:rPr>
        <w:t>№</w:t>
      </w:r>
    </w:p>
    <w:p w:rsidR="00420E19" w:rsidRPr="00420E19" w:rsidRDefault="00420E19" w:rsidP="00420E19">
      <w:pPr>
        <w:spacing w:after="240" w:line="322" w:lineRule="exact"/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в 2020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br/>
        <w:t xml:space="preserve">конкурсу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b/>
          <w:sz w:val="28"/>
          <w:szCs w:val="28"/>
        </w:rPr>
        <w:t>іальної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пітчингу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Активних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20E19">
        <w:rPr>
          <w:rFonts w:ascii="Times New Roman" w:hAnsi="Times New Roman" w:cs="Times New Roman"/>
          <w:b/>
          <w:sz w:val="28"/>
          <w:szCs w:val="28"/>
        </w:rPr>
        <w:t>Кам’янській</w:t>
      </w:r>
      <w:proofErr w:type="spellEnd"/>
      <w:r w:rsidRPr="00420E19">
        <w:rPr>
          <w:rFonts w:ascii="Times New Roman" w:hAnsi="Times New Roman" w:cs="Times New Roman"/>
          <w:b/>
          <w:sz w:val="28"/>
          <w:szCs w:val="28"/>
        </w:rPr>
        <w:t xml:space="preserve"> ОТГ</w:t>
      </w:r>
    </w:p>
    <w:p w:rsidR="00420E19" w:rsidRPr="00D377AE" w:rsidRDefault="00420E19" w:rsidP="00420E19">
      <w:pPr>
        <w:widowControl w:val="0"/>
        <w:numPr>
          <w:ilvl w:val="0"/>
          <w:numId w:val="1"/>
        </w:numPr>
        <w:tabs>
          <w:tab w:val="left" w:pos="4214"/>
        </w:tabs>
        <w:spacing w:after="0" w:line="322" w:lineRule="exact"/>
        <w:ind w:left="3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7AE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D377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7AE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64"/>
        </w:tabs>
        <w:spacing w:after="0" w:line="322" w:lineRule="exact"/>
        <w:ind w:right="200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 конкурс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r w:rsidRPr="00420E19">
        <w:rPr>
          <w:rStyle w:val="Bodytext20"/>
          <w:rFonts w:eastAsiaTheme="minorHAnsi"/>
        </w:rPr>
        <w:t xml:space="preserve">- </w:t>
      </w:r>
      <w:r w:rsidRPr="00420E19">
        <w:rPr>
          <w:rFonts w:ascii="Times New Roman" w:hAnsi="Times New Roman" w:cs="Times New Roman"/>
          <w:sz w:val="28"/>
          <w:szCs w:val="28"/>
        </w:rPr>
        <w:t xml:space="preserve">Конкурс)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69"/>
        </w:tabs>
        <w:spacing w:after="0" w:line="322" w:lineRule="exact"/>
        <w:ind w:right="2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420E19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ОТГ.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493"/>
        </w:tabs>
        <w:spacing w:after="236" w:line="322" w:lineRule="exact"/>
        <w:ind w:right="200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ади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партнерську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r w:rsidRPr="00420E19">
        <w:rPr>
          <w:rStyle w:val="Bodytext20"/>
          <w:rFonts w:eastAsiaTheme="minorHAnsi"/>
        </w:rPr>
        <w:t xml:space="preserve">-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платформа».</w:t>
      </w:r>
    </w:p>
    <w:p w:rsidR="00420E19" w:rsidRPr="00D377AE" w:rsidRDefault="00420E19" w:rsidP="00420E19">
      <w:pPr>
        <w:widowControl w:val="0"/>
        <w:numPr>
          <w:ilvl w:val="0"/>
          <w:numId w:val="1"/>
        </w:numPr>
        <w:tabs>
          <w:tab w:val="left" w:pos="2488"/>
        </w:tabs>
        <w:spacing w:after="0" w:line="326" w:lineRule="exact"/>
        <w:ind w:left="2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AE">
        <w:rPr>
          <w:rFonts w:ascii="Times New Roman" w:hAnsi="Times New Roman" w:cs="Times New Roman"/>
          <w:b/>
          <w:sz w:val="28"/>
          <w:szCs w:val="28"/>
        </w:rPr>
        <w:t xml:space="preserve">Мета, </w:t>
      </w:r>
      <w:proofErr w:type="spellStart"/>
      <w:r w:rsidRPr="00D377A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377A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D377AE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D377AE">
        <w:rPr>
          <w:rFonts w:ascii="Times New Roman" w:hAnsi="Times New Roman" w:cs="Times New Roman"/>
          <w:b/>
          <w:sz w:val="28"/>
          <w:szCs w:val="28"/>
        </w:rPr>
        <w:t>іоритетні</w:t>
      </w:r>
      <w:proofErr w:type="spellEnd"/>
      <w:r w:rsidRPr="00D377AE">
        <w:rPr>
          <w:rFonts w:ascii="Times New Roman" w:hAnsi="Times New Roman" w:cs="Times New Roman"/>
          <w:b/>
          <w:sz w:val="28"/>
          <w:szCs w:val="28"/>
        </w:rPr>
        <w:t xml:space="preserve"> напрямки конкурсу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64"/>
        </w:tabs>
        <w:spacing w:after="0" w:line="326" w:lineRule="exact"/>
        <w:ind w:right="2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Конкурс проводиться з метою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319"/>
        </w:tabs>
        <w:spacing w:after="0"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51"/>
        </w:tabs>
        <w:spacing w:after="0" w:line="326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51"/>
        </w:tabs>
        <w:spacing w:after="0" w:line="326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51"/>
        </w:tabs>
        <w:spacing w:after="0" w:line="326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319"/>
        </w:tabs>
        <w:spacing w:after="0"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напрямки конкурсу:</w:t>
      </w:r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51"/>
        </w:tabs>
        <w:spacing w:after="0" w:line="346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 xml:space="preserve"> ІТ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51"/>
        </w:tabs>
        <w:spacing w:after="0" w:line="346" w:lineRule="exact"/>
        <w:ind w:left="760" w:hanging="340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94"/>
        </w:tabs>
        <w:spacing w:after="0" w:line="280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креативний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креативних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благоустрою на</w:t>
      </w:r>
    </w:p>
    <w:p w:rsidR="00420E19" w:rsidRPr="00420E19" w:rsidRDefault="00420E19" w:rsidP="00420E19">
      <w:pPr>
        <w:spacing w:line="280" w:lineRule="exact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94"/>
        </w:tabs>
        <w:spacing w:after="0" w:line="280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молодіжні</w:t>
      </w:r>
      <w:proofErr w:type="spellEnd"/>
      <w:proofErr w:type="gramEnd"/>
    </w:p>
    <w:p w:rsidR="00420E19" w:rsidRPr="00420E19" w:rsidRDefault="00420E19" w:rsidP="00420E19">
      <w:pPr>
        <w:spacing w:line="360" w:lineRule="exact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94"/>
        </w:tabs>
        <w:spacing w:after="0" w:line="360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lastRenderedPageBreak/>
        <w:t>екологічні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2"/>
        </w:numPr>
        <w:tabs>
          <w:tab w:val="left" w:pos="794"/>
        </w:tabs>
        <w:spacing w:after="304" w:line="360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інклюзивні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).</w:t>
      </w:r>
    </w:p>
    <w:p w:rsidR="00420E19" w:rsidRPr="00D377AE" w:rsidRDefault="00420E19" w:rsidP="00420E19">
      <w:pPr>
        <w:widowControl w:val="0"/>
        <w:numPr>
          <w:ilvl w:val="0"/>
          <w:numId w:val="1"/>
        </w:numPr>
        <w:tabs>
          <w:tab w:val="left" w:pos="3040"/>
        </w:tabs>
        <w:spacing w:after="0" w:line="280" w:lineRule="exact"/>
        <w:ind w:left="27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7AE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D377AE">
        <w:rPr>
          <w:rFonts w:ascii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 w:rsidRPr="00D377A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377AE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47"/>
        </w:tabs>
        <w:spacing w:after="0" w:line="37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E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жителями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ОТГ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локальної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в селах.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- </w:t>
      </w:r>
      <w:r w:rsidR="00D36754">
        <w:rPr>
          <w:rFonts w:ascii="Times New Roman" w:hAnsi="Times New Roman" w:cs="Times New Roman"/>
          <w:sz w:val="28"/>
          <w:szCs w:val="28"/>
        </w:rPr>
        <w:t xml:space="preserve">до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377AE" w:rsidRPr="00D377AE">
        <w:rPr>
          <w:rFonts w:ascii="Times New Roman" w:hAnsi="Times New Roman" w:cs="Times New Roman"/>
          <w:sz w:val="28"/>
          <w:szCs w:val="28"/>
        </w:rPr>
        <w:t xml:space="preserve"> </w:t>
      </w:r>
      <w:r w:rsidR="00D377AE" w:rsidRPr="00D377AE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D377AE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311"/>
        </w:tabs>
        <w:spacing w:after="0" w:line="37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:</w:t>
      </w:r>
    </w:p>
    <w:p w:rsidR="00420E19" w:rsidRPr="00420E19" w:rsidRDefault="00420E19" w:rsidP="00420E19">
      <w:pPr>
        <w:widowControl w:val="0"/>
        <w:numPr>
          <w:ilvl w:val="2"/>
          <w:numId w:val="1"/>
        </w:numPr>
        <w:tabs>
          <w:tab w:val="left" w:pos="1463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Style w:val="Bodytext2Bold"/>
          <w:rFonts w:eastAsiaTheme="minorHAnsi"/>
        </w:rPr>
        <w:t xml:space="preserve">1-й етап: Подача </w:t>
      </w:r>
      <w:proofErr w:type="spellStart"/>
      <w:r w:rsidRPr="00420E19">
        <w:rPr>
          <w:rStyle w:val="Bodytext2Bold"/>
          <w:rFonts w:eastAsiaTheme="minorHAnsi"/>
        </w:rPr>
        <w:t>проєктних</w:t>
      </w:r>
      <w:proofErr w:type="spellEnd"/>
      <w:r w:rsidRPr="00420E19">
        <w:rPr>
          <w:rStyle w:val="Bodytext2Bold"/>
          <w:rFonts w:eastAsiaTheme="minorHAnsi"/>
        </w:rPr>
        <w:t xml:space="preserve"> ідей та їх попередній відбір.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уча</w:t>
      </w:r>
      <w:r w:rsidR="00D377AE">
        <w:rPr>
          <w:rFonts w:ascii="Times New Roman" w:hAnsi="Times New Roman" w:cs="Times New Roman"/>
          <w:sz w:val="28"/>
          <w:szCs w:val="28"/>
        </w:rPr>
        <w:t>сникі</w:t>
      </w:r>
      <w:proofErr w:type="gramStart"/>
      <w:r w:rsidR="00D377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377A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D377AE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="00D377AE">
        <w:rPr>
          <w:rFonts w:ascii="Times New Roman" w:hAnsi="Times New Roman" w:cs="Times New Roman"/>
          <w:sz w:val="28"/>
          <w:szCs w:val="28"/>
        </w:rPr>
        <w:t xml:space="preserve"> до 1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377AE">
        <w:rPr>
          <w:rFonts w:ascii="Times New Roman" w:hAnsi="Times New Roman" w:cs="Times New Roman"/>
          <w:sz w:val="28"/>
          <w:szCs w:val="28"/>
        </w:rPr>
        <w:t xml:space="preserve"> </w:t>
      </w:r>
      <w:r w:rsidR="00D377A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420E19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20E1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До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420E19">
        <w:rPr>
          <w:rFonts w:ascii="Times New Roman" w:hAnsi="Times New Roman" w:cs="Times New Roman"/>
          <w:sz w:val="28"/>
          <w:szCs w:val="28"/>
        </w:rPr>
        <w:t xml:space="preserve"> 20</w:t>
      </w:r>
      <w:r w:rsidRPr="00420E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20E19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повідомляються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20E19" w:rsidRPr="00420E19" w:rsidRDefault="00420E19" w:rsidP="00420E19">
      <w:pPr>
        <w:widowControl w:val="0"/>
        <w:numPr>
          <w:ilvl w:val="2"/>
          <w:numId w:val="1"/>
        </w:numPr>
        <w:tabs>
          <w:tab w:val="left" w:pos="1468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Style w:val="Bodytext2Bold"/>
          <w:rFonts w:eastAsiaTheme="minorHAnsi"/>
        </w:rPr>
        <w:t xml:space="preserve">2-й етап: Презентація </w:t>
      </w:r>
      <w:proofErr w:type="spellStart"/>
      <w:r w:rsidRPr="00420E19">
        <w:rPr>
          <w:rStyle w:val="Bodytext2Bold"/>
          <w:rFonts w:eastAsiaTheme="minorHAnsi"/>
        </w:rPr>
        <w:t>проєктних</w:t>
      </w:r>
      <w:proofErr w:type="spellEnd"/>
      <w:r w:rsidRPr="00420E19">
        <w:rPr>
          <w:rStyle w:val="Bodytext2Bold"/>
          <w:rFonts w:eastAsiaTheme="minorHAnsi"/>
        </w:rPr>
        <w:t xml:space="preserve"> ідей.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23 листопада</w:t>
      </w:r>
      <w:r w:rsidRPr="00420E19">
        <w:rPr>
          <w:rFonts w:ascii="Times New Roman" w:hAnsi="Times New Roman" w:cs="Times New Roman"/>
          <w:sz w:val="28"/>
          <w:szCs w:val="28"/>
          <w:lang w:val="uk-UA"/>
        </w:rPr>
        <w:t xml:space="preserve"> 2020 року учасники конкурсу, чиї </w:t>
      </w:r>
      <w:proofErr w:type="spellStart"/>
      <w:r w:rsidRPr="00420E19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420E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напрямкам та меті конкурсу, презентують свої ідеї перед конкурсною комісією.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представлена у будь-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2"/>
          <w:numId w:val="1"/>
        </w:numPr>
        <w:tabs>
          <w:tab w:val="left" w:pos="1477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Style w:val="Bodytext2Bold"/>
          <w:rFonts w:eastAsiaTheme="minorHAnsi"/>
        </w:rPr>
        <w:t xml:space="preserve">3-й етап: Експертна оцінка та доопрацювання </w:t>
      </w:r>
      <w:proofErr w:type="spellStart"/>
      <w:r w:rsidRPr="00420E19">
        <w:rPr>
          <w:rStyle w:val="Bodytext2Bold"/>
          <w:rFonts w:eastAsiaTheme="minorHAnsi"/>
        </w:rPr>
        <w:t>проєктів</w:t>
      </w:r>
      <w:proofErr w:type="spellEnd"/>
      <w:r w:rsidRPr="00420E19">
        <w:rPr>
          <w:rStyle w:val="Bodytext2Bold"/>
          <w:rFonts w:eastAsiaTheme="minorHAnsi"/>
        </w:rPr>
        <w:t xml:space="preserve">.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36754">
        <w:rPr>
          <w:rFonts w:ascii="Times New Roman" w:hAnsi="Times New Roman" w:cs="Times New Roman"/>
          <w:sz w:val="28"/>
          <w:szCs w:val="28"/>
        </w:rPr>
        <w:t xml:space="preserve">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420E19">
        <w:rPr>
          <w:rFonts w:ascii="Times New Roman" w:hAnsi="Times New Roman" w:cs="Times New Roman"/>
          <w:sz w:val="28"/>
          <w:szCs w:val="28"/>
        </w:rPr>
        <w:t xml:space="preserve"> 2020 року -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супроводі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</w:t>
      </w:r>
      <w:r w:rsidRPr="00420E19">
        <w:rPr>
          <w:rStyle w:val="Bodytext2Bold"/>
          <w:rFonts w:eastAsiaTheme="minorHAnsi"/>
        </w:rPr>
        <w:t xml:space="preserve">Участь у       тренінгу </w:t>
      </w:r>
      <w:r w:rsidRPr="00420E19">
        <w:rPr>
          <w:rFonts w:ascii="Times New Roman" w:hAnsi="Times New Roman" w:cs="Times New Roman"/>
          <w:sz w:val="28"/>
          <w:szCs w:val="28"/>
        </w:rPr>
        <w:t xml:space="preserve">- </w:t>
      </w:r>
      <w:r w:rsidRPr="00420E19">
        <w:rPr>
          <w:rStyle w:val="Bodytext2Bold"/>
          <w:rFonts w:eastAsiaTheme="minorHAnsi"/>
        </w:rPr>
        <w:t xml:space="preserve">обов’язкова.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2"/>
          <w:numId w:val="1"/>
        </w:numPr>
        <w:tabs>
          <w:tab w:val="left" w:pos="1477"/>
        </w:tabs>
        <w:spacing w:after="0" w:line="37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Style w:val="Bodytext2Bold"/>
          <w:rFonts w:eastAsiaTheme="minorHAnsi"/>
        </w:rPr>
        <w:t xml:space="preserve">4-й етап: Захист </w:t>
      </w:r>
      <w:proofErr w:type="spellStart"/>
      <w:r w:rsidRPr="00420E19">
        <w:rPr>
          <w:rStyle w:val="Bodytext2Bold"/>
          <w:rFonts w:eastAsiaTheme="minorHAnsi"/>
        </w:rPr>
        <w:t>проєктів</w:t>
      </w:r>
      <w:proofErr w:type="spellEnd"/>
      <w:r w:rsidRPr="00420E19">
        <w:rPr>
          <w:rStyle w:val="Bodytext2Bold"/>
          <w:rFonts w:eastAsiaTheme="minorHAnsi"/>
        </w:rPr>
        <w:t xml:space="preserve"> учасниками конкурсу. </w:t>
      </w:r>
      <w:r w:rsidR="00D36754">
        <w:rPr>
          <w:rFonts w:ascii="Times New Roman" w:hAnsi="Times New Roman" w:cs="Times New Roman"/>
          <w:sz w:val="28"/>
          <w:szCs w:val="28"/>
        </w:rPr>
        <w:t>2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36754">
        <w:rPr>
          <w:rFonts w:ascii="Times New Roman" w:hAnsi="Times New Roman" w:cs="Times New Roman"/>
          <w:sz w:val="28"/>
          <w:szCs w:val="28"/>
        </w:rPr>
        <w:t xml:space="preserve">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420E19">
        <w:rPr>
          <w:rFonts w:ascii="Times New Roman" w:hAnsi="Times New Roman" w:cs="Times New Roman"/>
          <w:sz w:val="28"/>
          <w:szCs w:val="28"/>
        </w:rPr>
        <w:t xml:space="preserve">2020 року -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проходить 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66"/>
        </w:tabs>
        <w:spacing w:after="0" w:line="37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ідбувається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протоколом,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ініціативних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71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перешкоджати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об’єктивному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311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Вартіс</w:t>
      </w:r>
      <w:r w:rsidR="00D3675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3675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D3675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36754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D36754">
        <w:rPr>
          <w:rFonts w:ascii="Times New Roman" w:hAnsi="Times New Roman" w:cs="Times New Roman"/>
          <w:sz w:val="28"/>
          <w:szCs w:val="28"/>
          <w:lang w:val="uk-UA"/>
        </w:rPr>
        <w:t>до 30</w:t>
      </w:r>
      <w:r w:rsidRPr="00420E19">
        <w:rPr>
          <w:rFonts w:ascii="Times New Roman" w:hAnsi="Times New Roman" w:cs="Times New Roman"/>
          <w:sz w:val="28"/>
          <w:szCs w:val="28"/>
        </w:rPr>
        <w:t xml:space="preserve"> 000 грн.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але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сукупну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суму не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бюджет конкурсу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– 300 000 грн.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бюджет конкурсу 300 000 грн. з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150 000 грн.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ради та 150 000 грн., (з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75 000 грн. буде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конкурсу)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перераховані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lastRenderedPageBreak/>
        <w:t>громадської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платформа» для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ітчингу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Ужгороді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303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За результатами Конкурсу </w:t>
      </w:r>
      <w:proofErr w:type="spellStart"/>
      <w:r w:rsidR="001637C0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="0016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7C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1637C0">
        <w:rPr>
          <w:rFonts w:ascii="Times New Roman" w:hAnsi="Times New Roman" w:cs="Times New Roman"/>
          <w:sz w:val="28"/>
          <w:szCs w:val="28"/>
        </w:rPr>
        <w:t xml:space="preserve"> </w:t>
      </w:r>
      <w:r w:rsidR="001637C0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конкурсу. 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на процедуру заявок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r w:rsidRPr="00420E19">
        <w:rPr>
          <w:rStyle w:val="Bodytext20"/>
          <w:rFonts w:eastAsiaTheme="minorHAnsi"/>
        </w:rPr>
        <w:t xml:space="preserve"> </w:t>
      </w:r>
      <w:r w:rsidR="001637C0">
        <w:rPr>
          <w:rFonts w:ascii="Times New Roman" w:hAnsi="Times New Roman" w:cs="Times New Roman"/>
          <w:sz w:val="28"/>
          <w:szCs w:val="28"/>
        </w:rPr>
        <w:t xml:space="preserve">до </w:t>
      </w:r>
      <w:r w:rsidR="001637C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637C0">
        <w:rPr>
          <w:rFonts w:ascii="Times New Roman" w:hAnsi="Times New Roman" w:cs="Times New Roman"/>
          <w:sz w:val="28"/>
          <w:szCs w:val="28"/>
        </w:rPr>
        <w:t xml:space="preserve"> </w:t>
      </w:r>
      <w:r w:rsidR="001637C0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420E19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432"/>
        </w:tabs>
        <w:spacing w:after="24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Дата початку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ади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1637C0" w:rsidRDefault="00420E19" w:rsidP="00420E19">
      <w:pPr>
        <w:widowControl w:val="0"/>
        <w:numPr>
          <w:ilvl w:val="0"/>
          <w:numId w:val="1"/>
        </w:numPr>
        <w:tabs>
          <w:tab w:val="left" w:pos="3351"/>
        </w:tabs>
        <w:spacing w:after="0" w:line="322" w:lineRule="exact"/>
        <w:ind w:left="29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7C0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163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7C0">
        <w:rPr>
          <w:rFonts w:ascii="Times New Roman" w:hAnsi="Times New Roman" w:cs="Times New Roman"/>
          <w:b/>
          <w:sz w:val="28"/>
          <w:szCs w:val="28"/>
        </w:rPr>
        <w:t>переможці</w:t>
      </w:r>
      <w:proofErr w:type="gramStart"/>
      <w:r w:rsidRPr="001637C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1637C0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У склад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ади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323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E19">
        <w:rPr>
          <w:rFonts w:ascii="Times New Roman" w:hAnsi="Times New Roman" w:cs="Times New Roman"/>
          <w:sz w:val="28"/>
          <w:szCs w:val="28"/>
        </w:rPr>
        <w:t>Основною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ідбувається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оціночної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: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іткість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напрямкам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>бюджет;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сталість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залучена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32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: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E19">
        <w:rPr>
          <w:rFonts w:ascii="Times New Roman" w:hAnsi="Times New Roman" w:cs="Times New Roman"/>
          <w:sz w:val="28"/>
          <w:szCs w:val="28"/>
        </w:rPr>
        <w:t xml:space="preserve">дату, час та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;</w:t>
      </w:r>
    </w:p>
    <w:p w:rsidR="00420E19" w:rsidRPr="00420E19" w:rsidRDefault="00420E19" w:rsidP="00420E19">
      <w:pPr>
        <w:widowControl w:val="0"/>
        <w:numPr>
          <w:ilvl w:val="0"/>
          <w:numId w:val="3"/>
        </w:numPr>
        <w:tabs>
          <w:tab w:val="left" w:pos="1006"/>
        </w:tabs>
        <w:spacing w:after="273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1637C0" w:rsidRDefault="00420E19" w:rsidP="00420E19">
      <w:pPr>
        <w:widowControl w:val="0"/>
        <w:numPr>
          <w:ilvl w:val="0"/>
          <w:numId w:val="1"/>
        </w:numPr>
        <w:tabs>
          <w:tab w:val="left" w:pos="3342"/>
        </w:tabs>
        <w:spacing w:after="0" w:line="280" w:lineRule="exact"/>
        <w:ind w:left="29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7C0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163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637C0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1637C0">
        <w:rPr>
          <w:rFonts w:ascii="Times New Roman" w:hAnsi="Times New Roman" w:cs="Times New Roman"/>
          <w:b/>
          <w:sz w:val="28"/>
          <w:szCs w:val="28"/>
        </w:rPr>
        <w:t>іжних</w:t>
      </w:r>
      <w:proofErr w:type="spellEnd"/>
      <w:r w:rsidRPr="00163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7C0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7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проводиться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ітчинг</w:t>
      </w:r>
      <w:proofErr w:type="spellEnd"/>
      <w:r w:rsidR="00163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7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заявок на конкурс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проводиться конкурсною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7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7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lastRenderedPageBreak/>
        <w:t>Переможці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до п. 4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авторами на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44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затверд</w:t>
      </w:r>
      <w:r w:rsidR="001637C0">
        <w:rPr>
          <w:rFonts w:ascii="Times New Roman" w:hAnsi="Times New Roman" w:cs="Times New Roman"/>
          <w:sz w:val="28"/>
          <w:szCs w:val="28"/>
        </w:rPr>
        <w:t>жується</w:t>
      </w:r>
      <w:proofErr w:type="spellEnd"/>
      <w:r w:rsidR="0016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7C0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1637C0">
        <w:rPr>
          <w:rFonts w:ascii="Times New Roman" w:hAnsi="Times New Roman" w:cs="Times New Roman"/>
          <w:sz w:val="28"/>
          <w:szCs w:val="28"/>
        </w:rPr>
        <w:t xml:space="preserve"> </w:t>
      </w:r>
      <w:r w:rsidR="001637C0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>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7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ініціативних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ади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партнерську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платформа».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44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E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платформа».</w:t>
      </w:r>
    </w:p>
    <w:p w:rsidR="00420E19" w:rsidRPr="00420E19" w:rsidRDefault="00420E19" w:rsidP="00420E19">
      <w:pPr>
        <w:widowControl w:val="0"/>
        <w:numPr>
          <w:ilvl w:val="1"/>
          <w:numId w:val="1"/>
        </w:numPr>
        <w:tabs>
          <w:tab w:val="left" w:pos="127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ініціативні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звітують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E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0E19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та спорту та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Британською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Радою в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партнерську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0E19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420E19">
        <w:rPr>
          <w:rFonts w:ascii="Times New Roman" w:hAnsi="Times New Roman" w:cs="Times New Roman"/>
          <w:sz w:val="28"/>
          <w:szCs w:val="28"/>
        </w:rPr>
        <w:t xml:space="preserve"> платформа».</w:t>
      </w:r>
    </w:p>
    <w:p w:rsidR="00C31563" w:rsidRPr="00420E19" w:rsidRDefault="00C315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1563" w:rsidRPr="00420E19" w:rsidSect="009B7212">
      <w:pgSz w:w="11900" w:h="16840"/>
      <w:pgMar w:top="1108" w:right="445" w:bottom="1163" w:left="1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7EA"/>
    <w:multiLevelType w:val="multilevel"/>
    <w:tmpl w:val="4B927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148FC"/>
    <w:multiLevelType w:val="multilevel"/>
    <w:tmpl w:val="483237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B40DA"/>
    <w:multiLevelType w:val="multilevel"/>
    <w:tmpl w:val="5FD86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9"/>
    <w:rsid w:val="001637C0"/>
    <w:rsid w:val="00420E19"/>
    <w:rsid w:val="00C31563"/>
    <w:rsid w:val="00D36754"/>
    <w:rsid w:val="00D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420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4">
    <w:name w:val="Heading #4_"/>
    <w:basedOn w:val="a0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Heading40">
    <w:name w:val="Heading #4"/>
    <w:basedOn w:val="Heading4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420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4">
    <w:name w:val="Heading #4_"/>
    <w:basedOn w:val="a0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Heading40">
    <w:name w:val="Heading #4"/>
    <w:basedOn w:val="Heading4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42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2020-09-01T10:22:00Z</dcterms:created>
  <dcterms:modified xsi:type="dcterms:W3CDTF">2021-03-03T13:31:00Z</dcterms:modified>
</cp:coreProperties>
</file>