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9DB2" w14:textId="2717AC4B" w:rsidR="00673F20" w:rsidRDefault="00673F20" w:rsidP="002C5A2F">
      <w:pPr>
        <w:jc w:val="center"/>
        <w:rPr>
          <w:b/>
          <w:sz w:val="32"/>
          <w:szCs w:val="32"/>
          <w:lang w:val="uk-UA"/>
        </w:rPr>
      </w:pPr>
    </w:p>
    <w:p w14:paraId="739FEB98" w14:textId="242AA181" w:rsidR="002C5A2F" w:rsidRPr="00051B52" w:rsidRDefault="002C5A2F" w:rsidP="002C5A2F">
      <w:pPr>
        <w:jc w:val="center"/>
        <w:rPr>
          <w:b/>
          <w:sz w:val="32"/>
          <w:szCs w:val="32"/>
          <w:lang w:val="uk-UA"/>
        </w:rPr>
      </w:pPr>
      <w:r w:rsidRPr="00051B52">
        <w:rPr>
          <w:b/>
          <w:sz w:val="32"/>
          <w:szCs w:val="32"/>
          <w:lang w:val="uk-UA"/>
        </w:rPr>
        <w:t xml:space="preserve">Заява </w:t>
      </w:r>
    </w:p>
    <w:p w14:paraId="591E21C6" w14:textId="55F58B19" w:rsidR="002C5A2F" w:rsidRPr="00051B52" w:rsidRDefault="002C5A2F" w:rsidP="002B23AF">
      <w:pPr>
        <w:ind w:right="-143"/>
        <w:jc w:val="center"/>
        <w:rPr>
          <w:b/>
          <w:sz w:val="32"/>
          <w:szCs w:val="32"/>
          <w:lang w:val="uk-UA"/>
        </w:rPr>
      </w:pPr>
      <w:r w:rsidRPr="00051B52">
        <w:rPr>
          <w:b/>
          <w:sz w:val="32"/>
          <w:szCs w:val="32"/>
          <w:lang w:val="uk-UA"/>
        </w:rPr>
        <w:t>про визначення обсягу стратегічної екологічної оцінки проекту «</w:t>
      </w:r>
      <w:r w:rsidR="002B23AF">
        <w:rPr>
          <w:b/>
          <w:sz w:val="32"/>
          <w:szCs w:val="32"/>
          <w:lang w:val="uk-UA"/>
        </w:rPr>
        <w:t>Д</w:t>
      </w:r>
      <w:r w:rsidR="002B23AF" w:rsidRPr="002B23AF">
        <w:rPr>
          <w:b/>
          <w:sz w:val="32"/>
          <w:szCs w:val="32"/>
          <w:lang w:val="uk-UA"/>
        </w:rPr>
        <w:t xml:space="preserve">етальний план території </w:t>
      </w:r>
      <w:r w:rsidR="00025486">
        <w:rPr>
          <w:b/>
          <w:sz w:val="32"/>
          <w:szCs w:val="32"/>
          <w:lang w:val="uk-UA"/>
        </w:rPr>
        <w:t xml:space="preserve">для розміщення </w:t>
      </w:r>
      <w:proofErr w:type="spellStart"/>
      <w:r w:rsidR="00025486">
        <w:rPr>
          <w:b/>
          <w:sz w:val="32"/>
          <w:szCs w:val="32"/>
          <w:lang w:val="uk-UA"/>
        </w:rPr>
        <w:t>Арданівського</w:t>
      </w:r>
      <w:proofErr w:type="spellEnd"/>
      <w:r w:rsidR="00025486">
        <w:rPr>
          <w:b/>
          <w:sz w:val="32"/>
          <w:szCs w:val="32"/>
          <w:lang w:val="uk-UA"/>
        </w:rPr>
        <w:t xml:space="preserve"> родовища </w:t>
      </w:r>
      <w:proofErr w:type="spellStart"/>
      <w:r w:rsidR="00025486">
        <w:rPr>
          <w:b/>
          <w:sz w:val="32"/>
          <w:szCs w:val="32"/>
          <w:lang w:val="uk-UA"/>
        </w:rPr>
        <w:t>андезитів</w:t>
      </w:r>
      <w:proofErr w:type="spellEnd"/>
      <w:r w:rsidR="002B23AF" w:rsidRPr="002B23AF">
        <w:rPr>
          <w:b/>
          <w:sz w:val="32"/>
          <w:szCs w:val="32"/>
          <w:lang w:val="uk-UA"/>
        </w:rPr>
        <w:t xml:space="preserve"> </w:t>
      </w:r>
      <w:r w:rsidR="00025486">
        <w:rPr>
          <w:b/>
          <w:sz w:val="32"/>
          <w:szCs w:val="32"/>
          <w:lang w:val="uk-UA"/>
        </w:rPr>
        <w:t>за межами населеного пункту, 400 метрів на північний схід від с. Арданово</w:t>
      </w:r>
      <w:r w:rsidR="002B23AF">
        <w:rPr>
          <w:b/>
          <w:sz w:val="32"/>
          <w:szCs w:val="32"/>
          <w:lang w:val="uk-UA"/>
        </w:rPr>
        <w:t xml:space="preserve">, </w:t>
      </w:r>
      <w:r w:rsidR="00FB7644">
        <w:rPr>
          <w:b/>
          <w:sz w:val="32"/>
          <w:szCs w:val="32"/>
          <w:lang w:val="uk-UA"/>
        </w:rPr>
        <w:t>Берегівського</w:t>
      </w:r>
      <w:r w:rsidR="002B23AF">
        <w:rPr>
          <w:b/>
          <w:sz w:val="32"/>
          <w:szCs w:val="32"/>
          <w:lang w:val="uk-UA"/>
        </w:rPr>
        <w:t xml:space="preserve"> району, Закарпатської області</w:t>
      </w:r>
      <w:r w:rsidRPr="00051B52">
        <w:rPr>
          <w:b/>
          <w:sz w:val="32"/>
          <w:szCs w:val="32"/>
          <w:lang w:val="uk-UA"/>
        </w:rPr>
        <w:t>»</w:t>
      </w:r>
    </w:p>
    <w:p w14:paraId="740296FF" w14:textId="77777777" w:rsidR="002C5A2F" w:rsidRPr="001D3F21" w:rsidRDefault="002C5A2F" w:rsidP="002C5A2F">
      <w:pPr>
        <w:jc w:val="center"/>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072"/>
        <w:gridCol w:w="5739"/>
      </w:tblGrid>
      <w:tr w:rsidR="002C5A2F" w:rsidRPr="00C94CC9" w14:paraId="09C17A50" w14:textId="77777777" w:rsidTr="00E5610D">
        <w:tc>
          <w:tcPr>
            <w:tcW w:w="647" w:type="dxa"/>
            <w:shd w:val="clear" w:color="auto" w:fill="auto"/>
          </w:tcPr>
          <w:p w14:paraId="2267AE53" w14:textId="77777777" w:rsidR="002C5A2F" w:rsidRPr="00C94CC9" w:rsidRDefault="002C5A2F" w:rsidP="00C94CC9">
            <w:pPr>
              <w:numPr>
                <w:ilvl w:val="0"/>
                <w:numId w:val="1"/>
              </w:numPr>
              <w:jc w:val="center"/>
              <w:rPr>
                <w:sz w:val="28"/>
                <w:szCs w:val="28"/>
                <w:lang w:val="uk-UA"/>
              </w:rPr>
            </w:pPr>
          </w:p>
        </w:tc>
        <w:tc>
          <w:tcPr>
            <w:tcW w:w="3072" w:type="dxa"/>
            <w:shd w:val="clear" w:color="auto" w:fill="auto"/>
          </w:tcPr>
          <w:p w14:paraId="7E975906" w14:textId="77777777" w:rsidR="002C5A2F" w:rsidRPr="00C94CC9" w:rsidRDefault="002C5A2F" w:rsidP="002C5A2F">
            <w:pPr>
              <w:rPr>
                <w:sz w:val="28"/>
                <w:szCs w:val="28"/>
                <w:lang w:val="uk-UA"/>
              </w:rPr>
            </w:pPr>
            <w:r w:rsidRPr="00C94CC9">
              <w:rPr>
                <w:sz w:val="28"/>
                <w:szCs w:val="28"/>
                <w:lang w:val="uk-UA"/>
              </w:rPr>
              <w:t>Замовник</w:t>
            </w:r>
          </w:p>
        </w:tc>
        <w:tc>
          <w:tcPr>
            <w:tcW w:w="6028" w:type="dxa"/>
            <w:shd w:val="clear" w:color="auto" w:fill="auto"/>
          </w:tcPr>
          <w:p w14:paraId="0F3F4833" w14:textId="4E900CDF" w:rsidR="002C5A2F" w:rsidRPr="00C54270" w:rsidRDefault="00C54270" w:rsidP="00DA614C">
            <w:pPr>
              <w:rPr>
                <w:sz w:val="28"/>
                <w:szCs w:val="28"/>
                <w:lang w:val="uk-UA"/>
              </w:rPr>
            </w:pPr>
            <w:r w:rsidRPr="00C54270">
              <w:rPr>
                <w:color w:val="202020"/>
                <w:sz w:val="28"/>
                <w:szCs w:val="28"/>
                <w:shd w:val="clear" w:color="auto" w:fill="FFFFFF"/>
                <w:lang w:val="uk-UA"/>
              </w:rPr>
              <w:t>Виконавчий комітет</w:t>
            </w:r>
            <w:r w:rsidR="00F64D63">
              <w:rPr>
                <w:color w:val="202020"/>
                <w:sz w:val="28"/>
                <w:szCs w:val="28"/>
                <w:shd w:val="clear" w:color="auto" w:fill="FFFFFF"/>
                <w:lang w:val="uk-UA"/>
              </w:rPr>
              <w:t xml:space="preserve"> </w:t>
            </w:r>
            <w:proofErr w:type="spellStart"/>
            <w:r w:rsidR="00025486">
              <w:rPr>
                <w:color w:val="202020"/>
                <w:sz w:val="28"/>
                <w:szCs w:val="28"/>
                <w:shd w:val="clear" w:color="auto" w:fill="FFFFFF"/>
                <w:lang w:val="uk-UA"/>
              </w:rPr>
              <w:t>Кам</w:t>
            </w:r>
            <w:r w:rsidR="00FB7644">
              <w:rPr>
                <w:color w:val="202020"/>
                <w:sz w:val="28"/>
                <w:szCs w:val="28"/>
                <w:shd w:val="clear" w:color="auto" w:fill="FFFFFF"/>
                <w:lang w:val="uk-UA"/>
              </w:rPr>
              <w:t>’</w:t>
            </w:r>
            <w:r w:rsidR="00025486">
              <w:rPr>
                <w:color w:val="202020"/>
                <w:sz w:val="28"/>
                <w:szCs w:val="28"/>
                <w:shd w:val="clear" w:color="auto" w:fill="FFFFFF"/>
                <w:lang w:val="uk-UA"/>
              </w:rPr>
              <w:t>янської</w:t>
            </w:r>
            <w:proofErr w:type="spellEnd"/>
            <w:r w:rsidR="00025486">
              <w:rPr>
                <w:color w:val="202020"/>
                <w:sz w:val="28"/>
                <w:szCs w:val="28"/>
                <w:shd w:val="clear" w:color="auto" w:fill="FFFFFF"/>
                <w:lang w:val="uk-UA"/>
              </w:rPr>
              <w:t xml:space="preserve"> сільської ради</w:t>
            </w:r>
            <w:r>
              <w:rPr>
                <w:color w:val="202020"/>
                <w:sz w:val="28"/>
                <w:szCs w:val="28"/>
                <w:shd w:val="clear" w:color="auto" w:fill="FFFFFF"/>
                <w:lang w:val="uk-UA"/>
              </w:rPr>
              <w:t xml:space="preserve">, </w:t>
            </w:r>
            <w:r w:rsidR="00025486">
              <w:rPr>
                <w:color w:val="202020"/>
                <w:sz w:val="28"/>
                <w:szCs w:val="28"/>
                <w:shd w:val="clear" w:color="auto" w:fill="FFFFFF"/>
                <w:lang w:val="uk-UA"/>
              </w:rPr>
              <w:t>Берегівського</w:t>
            </w:r>
            <w:r>
              <w:rPr>
                <w:color w:val="202020"/>
                <w:sz w:val="28"/>
                <w:szCs w:val="28"/>
                <w:shd w:val="clear" w:color="auto" w:fill="FFFFFF"/>
                <w:lang w:val="uk-UA"/>
              </w:rPr>
              <w:t xml:space="preserve"> району, Закарпатської області</w:t>
            </w:r>
          </w:p>
        </w:tc>
      </w:tr>
      <w:tr w:rsidR="002C5A2F" w:rsidRPr="00673F20" w14:paraId="1A154C9B" w14:textId="77777777" w:rsidTr="00E5610D">
        <w:tc>
          <w:tcPr>
            <w:tcW w:w="647" w:type="dxa"/>
            <w:shd w:val="clear" w:color="auto" w:fill="auto"/>
          </w:tcPr>
          <w:p w14:paraId="5E7E01DD" w14:textId="77777777" w:rsidR="002C5A2F" w:rsidRPr="00C94CC9" w:rsidRDefault="002C5A2F" w:rsidP="00C94CC9">
            <w:pPr>
              <w:numPr>
                <w:ilvl w:val="0"/>
                <w:numId w:val="1"/>
              </w:numPr>
              <w:jc w:val="center"/>
              <w:rPr>
                <w:sz w:val="28"/>
                <w:szCs w:val="28"/>
                <w:lang w:val="uk-UA"/>
              </w:rPr>
            </w:pPr>
          </w:p>
        </w:tc>
        <w:tc>
          <w:tcPr>
            <w:tcW w:w="3072" w:type="dxa"/>
            <w:shd w:val="clear" w:color="auto" w:fill="auto"/>
          </w:tcPr>
          <w:p w14:paraId="231A5AF8" w14:textId="77777777" w:rsidR="002C5A2F" w:rsidRPr="00C94CC9" w:rsidRDefault="00010C90" w:rsidP="002C5A2F">
            <w:pPr>
              <w:rPr>
                <w:sz w:val="28"/>
                <w:szCs w:val="28"/>
                <w:lang w:val="uk-UA"/>
              </w:rPr>
            </w:pPr>
            <w:r w:rsidRPr="00C94CC9">
              <w:rPr>
                <w:sz w:val="28"/>
                <w:szCs w:val="28"/>
                <w:lang w:val="uk-UA"/>
              </w:rPr>
              <w:t>В</w:t>
            </w:r>
            <w:r w:rsidR="002C5A2F" w:rsidRPr="00C94CC9">
              <w:rPr>
                <w:sz w:val="28"/>
                <w:szCs w:val="28"/>
                <w:lang w:val="uk-UA"/>
              </w:rPr>
              <w:t>ид та основні цілі документа державного планування, його зв’язок з іншими документами державного планування</w:t>
            </w:r>
          </w:p>
        </w:tc>
        <w:tc>
          <w:tcPr>
            <w:tcW w:w="6028" w:type="dxa"/>
            <w:shd w:val="clear" w:color="auto" w:fill="auto"/>
          </w:tcPr>
          <w:p w14:paraId="4AFCEEF7" w14:textId="3857DA7E" w:rsidR="002B23AF" w:rsidRDefault="00D07931" w:rsidP="009A3366">
            <w:pPr>
              <w:ind w:right="-143"/>
              <w:rPr>
                <w:sz w:val="28"/>
                <w:szCs w:val="28"/>
                <w:lang w:val="uk-UA"/>
              </w:rPr>
            </w:pPr>
            <w:r w:rsidRPr="00C94CC9">
              <w:rPr>
                <w:sz w:val="28"/>
                <w:szCs w:val="28"/>
                <w:lang w:val="uk-UA"/>
              </w:rPr>
              <w:t xml:space="preserve">Детальний план території </w:t>
            </w:r>
            <w:r w:rsidR="00025486">
              <w:rPr>
                <w:sz w:val="28"/>
                <w:szCs w:val="28"/>
                <w:lang w:val="uk-UA"/>
              </w:rPr>
              <w:t xml:space="preserve">для розміщення </w:t>
            </w:r>
            <w:proofErr w:type="spellStart"/>
            <w:r w:rsidR="00025486">
              <w:rPr>
                <w:sz w:val="28"/>
                <w:szCs w:val="28"/>
                <w:lang w:val="uk-UA"/>
              </w:rPr>
              <w:t>Арданівського</w:t>
            </w:r>
            <w:proofErr w:type="spellEnd"/>
            <w:r w:rsidR="00025486">
              <w:rPr>
                <w:sz w:val="28"/>
                <w:szCs w:val="28"/>
                <w:lang w:val="uk-UA"/>
              </w:rPr>
              <w:t xml:space="preserve"> родовища </w:t>
            </w:r>
            <w:proofErr w:type="spellStart"/>
            <w:r w:rsidR="00025486">
              <w:rPr>
                <w:sz w:val="28"/>
                <w:szCs w:val="28"/>
                <w:lang w:val="uk-UA"/>
              </w:rPr>
              <w:t>андезитів</w:t>
            </w:r>
            <w:proofErr w:type="spellEnd"/>
            <w:r w:rsidR="00F64D63" w:rsidRPr="00F64D63">
              <w:rPr>
                <w:sz w:val="28"/>
                <w:szCs w:val="28"/>
                <w:lang w:val="uk-UA"/>
              </w:rPr>
              <w:t xml:space="preserve"> </w:t>
            </w:r>
            <w:r w:rsidR="00025486">
              <w:rPr>
                <w:sz w:val="28"/>
                <w:szCs w:val="28"/>
                <w:lang w:val="uk-UA"/>
              </w:rPr>
              <w:t>за межами населеного пункту, 400 метрів на північний схід від с. Арданово</w:t>
            </w:r>
            <w:r w:rsidR="00F64D63" w:rsidRPr="00F64D63">
              <w:rPr>
                <w:sz w:val="28"/>
                <w:szCs w:val="28"/>
                <w:lang w:val="uk-UA"/>
              </w:rPr>
              <w:t xml:space="preserve">, </w:t>
            </w:r>
            <w:r w:rsidR="00FB7644">
              <w:rPr>
                <w:sz w:val="28"/>
                <w:szCs w:val="28"/>
                <w:lang w:val="uk-UA"/>
              </w:rPr>
              <w:t>Берегівського</w:t>
            </w:r>
            <w:r w:rsidR="00F64D63" w:rsidRPr="00F64D63">
              <w:rPr>
                <w:sz w:val="28"/>
                <w:szCs w:val="28"/>
                <w:lang w:val="uk-UA"/>
              </w:rPr>
              <w:t xml:space="preserve"> району, Закарпатської області </w:t>
            </w:r>
            <w:r w:rsidR="002B23AF">
              <w:rPr>
                <w:sz w:val="28"/>
                <w:szCs w:val="28"/>
                <w:lang w:val="uk-UA"/>
              </w:rPr>
              <w:t>(надалі «Документ»)</w:t>
            </w:r>
            <w:r w:rsidR="00F2395C">
              <w:rPr>
                <w:sz w:val="28"/>
                <w:szCs w:val="28"/>
                <w:lang w:val="uk-UA"/>
              </w:rPr>
              <w:t xml:space="preserve"> </w:t>
            </w:r>
            <w:r w:rsidRPr="007A5968">
              <w:rPr>
                <w:sz w:val="28"/>
                <w:szCs w:val="28"/>
                <w:lang w:val="uk-UA"/>
              </w:rPr>
              <w:t>планується</w:t>
            </w:r>
            <w:r w:rsidRPr="00C94CC9">
              <w:rPr>
                <w:sz w:val="28"/>
                <w:szCs w:val="28"/>
                <w:lang w:val="uk-UA"/>
              </w:rPr>
              <w:t xml:space="preserve"> розробити з метою</w:t>
            </w:r>
            <w:r w:rsidR="00672FA2">
              <w:rPr>
                <w:sz w:val="28"/>
                <w:szCs w:val="28"/>
                <w:lang w:val="uk-UA"/>
              </w:rPr>
              <w:t xml:space="preserve"> </w:t>
            </w:r>
            <w:r w:rsidR="00BB5A86" w:rsidRPr="00BB5A86">
              <w:rPr>
                <w:sz w:val="28"/>
                <w:szCs w:val="28"/>
                <w:lang w:val="uk-UA"/>
              </w:rPr>
              <w:t xml:space="preserve">обґрунтування потреб у формуванні </w:t>
            </w:r>
            <w:r w:rsidR="00BB5A86">
              <w:rPr>
                <w:sz w:val="28"/>
                <w:szCs w:val="28"/>
                <w:lang w:val="uk-UA"/>
              </w:rPr>
              <w:t>нової</w:t>
            </w:r>
            <w:r w:rsidR="00BB5A86" w:rsidRPr="00BB5A86">
              <w:rPr>
                <w:sz w:val="28"/>
                <w:szCs w:val="28"/>
                <w:lang w:val="uk-UA"/>
              </w:rPr>
              <w:t xml:space="preserve"> земельн</w:t>
            </w:r>
            <w:r w:rsidR="00BB5A86">
              <w:rPr>
                <w:sz w:val="28"/>
                <w:szCs w:val="28"/>
                <w:lang w:val="uk-UA"/>
              </w:rPr>
              <w:t>ої</w:t>
            </w:r>
            <w:r w:rsidR="00BB5A86" w:rsidRPr="00BB5A86">
              <w:rPr>
                <w:sz w:val="28"/>
                <w:szCs w:val="28"/>
                <w:lang w:val="uk-UA"/>
              </w:rPr>
              <w:t xml:space="preserve"> ділян</w:t>
            </w:r>
            <w:r w:rsidR="00BB5A86">
              <w:rPr>
                <w:sz w:val="28"/>
                <w:szCs w:val="28"/>
                <w:lang w:val="uk-UA"/>
              </w:rPr>
              <w:t xml:space="preserve">ки для влаштування відкритого кар’єру </w:t>
            </w:r>
            <w:r w:rsidR="000C4825">
              <w:rPr>
                <w:sz w:val="28"/>
                <w:szCs w:val="28"/>
                <w:lang w:val="uk-UA"/>
              </w:rPr>
              <w:t xml:space="preserve">видобутку </w:t>
            </w:r>
            <w:proofErr w:type="spellStart"/>
            <w:r w:rsidR="000C4825">
              <w:rPr>
                <w:sz w:val="28"/>
                <w:szCs w:val="28"/>
                <w:lang w:val="uk-UA"/>
              </w:rPr>
              <w:t>андезитів</w:t>
            </w:r>
            <w:proofErr w:type="spellEnd"/>
            <w:r w:rsidR="00BB5A86">
              <w:rPr>
                <w:sz w:val="28"/>
                <w:szCs w:val="28"/>
                <w:lang w:val="uk-UA"/>
              </w:rPr>
              <w:t xml:space="preserve">, та </w:t>
            </w:r>
            <w:r w:rsidR="00672FA2" w:rsidRPr="00672FA2">
              <w:rPr>
                <w:sz w:val="28"/>
                <w:szCs w:val="28"/>
                <w:lang w:val="uk-UA"/>
              </w:rPr>
              <w:t>уточнення меж всіх обмежень у використанні земель згідно із законодавством, державними будівельними нормами, санітарно-гігієнічними нормами, спеціальною документацією</w:t>
            </w:r>
            <w:r w:rsidR="00672FA2">
              <w:rPr>
                <w:sz w:val="28"/>
                <w:szCs w:val="28"/>
                <w:lang w:val="uk-UA"/>
              </w:rPr>
              <w:t xml:space="preserve">, </w:t>
            </w:r>
            <w:r w:rsidR="002B23AF">
              <w:rPr>
                <w:sz w:val="28"/>
                <w:szCs w:val="28"/>
                <w:lang w:val="uk-UA"/>
              </w:rPr>
              <w:t>.</w:t>
            </w:r>
          </w:p>
          <w:p w14:paraId="42D2550B" w14:textId="2A3D52F0" w:rsidR="001D3F21" w:rsidRPr="002B23AF" w:rsidRDefault="002B23AF" w:rsidP="008C6E7C">
            <w:pPr>
              <w:ind w:right="-143"/>
              <w:rPr>
                <w:sz w:val="28"/>
                <w:szCs w:val="28"/>
                <w:lang w:val="uk-UA"/>
              </w:rPr>
            </w:pPr>
            <w:r>
              <w:rPr>
                <w:sz w:val="28"/>
                <w:szCs w:val="28"/>
                <w:lang w:val="uk-UA"/>
              </w:rPr>
              <w:t xml:space="preserve">«Документ» уточнює </w:t>
            </w:r>
            <w:r w:rsidR="000C4825">
              <w:rPr>
                <w:sz w:val="28"/>
                <w:szCs w:val="28"/>
                <w:lang w:val="uk-UA"/>
              </w:rPr>
              <w:t xml:space="preserve">схему планування </w:t>
            </w:r>
            <w:proofErr w:type="spellStart"/>
            <w:r w:rsidR="000C4825">
              <w:rPr>
                <w:sz w:val="28"/>
                <w:szCs w:val="28"/>
                <w:lang w:val="uk-UA"/>
              </w:rPr>
              <w:t>Іршавського</w:t>
            </w:r>
            <w:proofErr w:type="spellEnd"/>
            <w:r w:rsidR="000C4825">
              <w:rPr>
                <w:sz w:val="28"/>
                <w:szCs w:val="28"/>
                <w:lang w:val="uk-UA"/>
              </w:rPr>
              <w:t xml:space="preserve"> району, та відповідає існуючій схемі планування Закарпатської області.</w:t>
            </w:r>
          </w:p>
        </w:tc>
      </w:tr>
      <w:tr w:rsidR="002C5A2F" w:rsidRPr="00C94CC9" w14:paraId="1DE2B371" w14:textId="77777777" w:rsidTr="00E5610D">
        <w:tc>
          <w:tcPr>
            <w:tcW w:w="647" w:type="dxa"/>
            <w:tcBorders>
              <w:bottom w:val="single" w:sz="4" w:space="0" w:color="auto"/>
            </w:tcBorders>
            <w:shd w:val="clear" w:color="auto" w:fill="auto"/>
          </w:tcPr>
          <w:p w14:paraId="3E28A655" w14:textId="77777777" w:rsidR="002C5A2F" w:rsidRPr="00C94CC9" w:rsidRDefault="002C5A2F" w:rsidP="00C94CC9">
            <w:pPr>
              <w:numPr>
                <w:ilvl w:val="0"/>
                <w:numId w:val="1"/>
              </w:numPr>
              <w:jc w:val="center"/>
              <w:rPr>
                <w:sz w:val="28"/>
                <w:szCs w:val="28"/>
                <w:lang w:val="uk-UA"/>
              </w:rPr>
            </w:pPr>
          </w:p>
        </w:tc>
        <w:tc>
          <w:tcPr>
            <w:tcW w:w="3072" w:type="dxa"/>
            <w:tcBorders>
              <w:bottom w:val="single" w:sz="4" w:space="0" w:color="auto"/>
            </w:tcBorders>
            <w:shd w:val="clear" w:color="auto" w:fill="auto"/>
          </w:tcPr>
          <w:p w14:paraId="3881E46B" w14:textId="77777777" w:rsidR="002C5A2F" w:rsidRPr="00C94CC9" w:rsidRDefault="00010C90" w:rsidP="002C5A2F">
            <w:pPr>
              <w:rPr>
                <w:sz w:val="28"/>
                <w:szCs w:val="28"/>
                <w:lang w:val="uk-UA"/>
              </w:rPr>
            </w:pPr>
            <w:r w:rsidRPr="00C94CC9">
              <w:rPr>
                <w:sz w:val="28"/>
                <w:szCs w:val="28"/>
                <w:lang w:val="uk-UA"/>
              </w:rPr>
              <w:t>Я</w:t>
            </w:r>
            <w:r w:rsidR="002C5A2F" w:rsidRPr="00C94CC9">
              <w:rPr>
                <w:sz w:val="28"/>
                <w:szCs w:val="28"/>
                <w:lang w:val="uk-UA"/>
              </w:rPr>
              <w:t>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tc>
        <w:tc>
          <w:tcPr>
            <w:tcW w:w="6028" w:type="dxa"/>
            <w:tcBorders>
              <w:bottom w:val="single" w:sz="4" w:space="0" w:color="auto"/>
            </w:tcBorders>
            <w:shd w:val="clear" w:color="auto" w:fill="auto"/>
          </w:tcPr>
          <w:p w14:paraId="1DDB51C8" w14:textId="4F82A65D" w:rsidR="00EB1029" w:rsidRDefault="002B23AF" w:rsidP="00C94CC9">
            <w:pPr>
              <w:autoSpaceDE w:val="0"/>
              <w:autoSpaceDN w:val="0"/>
              <w:adjustRightInd w:val="0"/>
              <w:jc w:val="both"/>
              <w:rPr>
                <w:sz w:val="28"/>
                <w:szCs w:val="28"/>
                <w:lang w:val="uk-UA"/>
              </w:rPr>
            </w:pPr>
            <w:bookmarkStart w:id="0" w:name="2__Перша_категорія_видів_планованої_діял"/>
            <w:bookmarkEnd w:id="0"/>
            <w:r>
              <w:rPr>
                <w:sz w:val="28"/>
                <w:szCs w:val="28"/>
                <w:lang w:val="uk-UA"/>
              </w:rPr>
              <w:t xml:space="preserve">«Документ» </w:t>
            </w:r>
            <w:r w:rsidR="008D1E2F">
              <w:rPr>
                <w:sz w:val="28"/>
                <w:szCs w:val="28"/>
                <w:lang w:val="uk-UA"/>
              </w:rPr>
              <w:t xml:space="preserve">передбачає </w:t>
            </w:r>
            <w:r w:rsidR="003E44A2" w:rsidRPr="003E44A2">
              <w:rPr>
                <w:sz w:val="28"/>
                <w:szCs w:val="28"/>
                <w:lang w:val="uk-UA"/>
              </w:rPr>
              <w:t>розробк</w:t>
            </w:r>
            <w:r w:rsidR="003E44A2">
              <w:rPr>
                <w:sz w:val="28"/>
                <w:szCs w:val="28"/>
                <w:lang w:val="uk-UA"/>
              </w:rPr>
              <w:t>у</w:t>
            </w:r>
            <w:r w:rsidR="003E44A2" w:rsidRPr="003E44A2">
              <w:rPr>
                <w:sz w:val="28"/>
                <w:szCs w:val="28"/>
                <w:lang w:val="uk-UA"/>
              </w:rPr>
              <w:t xml:space="preserve"> родовища відкритим способом - кар’єром</w:t>
            </w:r>
            <w:r w:rsidR="004F6CDE">
              <w:rPr>
                <w:sz w:val="28"/>
                <w:szCs w:val="28"/>
                <w:lang w:val="uk-UA"/>
              </w:rPr>
              <w:t>.</w:t>
            </w:r>
          </w:p>
          <w:p w14:paraId="3137E586" w14:textId="77777777" w:rsidR="00843249" w:rsidRDefault="00843249" w:rsidP="00C94CC9">
            <w:pPr>
              <w:autoSpaceDE w:val="0"/>
              <w:autoSpaceDN w:val="0"/>
              <w:adjustRightInd w:val="0"/>
              <w:jc w:val="both"/>
              <w:rPr>
                <w:sz w:val="28"/>
                <w:szCs w:val="28"/>
                <w:lang w:val="uk-UA"/>
              </w:rPr>
            </w:pPr>
          </w:p>
          <w:p w14:paraId="191AB423" w14:textId="3CC0ACE9" w:rsidR="00843249" w:rsidRDefault="001C67F7" w:rsidP="00C94CC9">
            <w:pPr>
              <w:autoSpaceDE w:val="0"/>
              <w:autoSpaceDN w:val="0"/>
              <w:adjustRightInd w:val="0"/>
              <w:jc w:val="both"/>
              <w:rPr>
                <w:sz w:val="28"/>
                <w:szCs w:val="28"/>
                <w:lang w:val="uk-UA"/>
              </w:rPr>
            </w:pPr>
            <w:r>
              <w:rPr>
                <w:sz w:val="28"/>
                <w:szCs w:val="28"/>
                <w:lang w:val="uk-UA"/>
              </w:rPr>
              <w:t xml:space="preserve">Географічні </w:t>
            </w:r>
            <w:proofErr w:type="spellStart"/>
            <w:r>
              <w:rPr>
                <w:sz w:val="28"/>
                <w:szCs w:val="28"/>
                <w:lang w:val="uk-UA"/>
              </w:rPr>
              <w:t>к</w:t>
            </w:r>
            <w:r w:rsidR="00843249">
              <w:rPr>
                <w:sz w:val="28"/>
                <w:szCs w:val="28"/>
                <w:lang w:val="uk-UA"/>
              </w:rPr>
              <w:t>ординати</w:t>
            </w:r>
            <w:proofErr w:type="spellEnd"/>
            <w:r w:rsidR="00843249">
              <w:rPr>
                <w:sz w:val="28"/>
                <w:szCs w:val="28"/>
                <w:lang w:val="uk-UA"/>
              </w:rPr>
              <w:t xml:space="preserve"> кутових точок ліценз</w:t>
            </w:r>
            <w:r w:rsidR="00DE6509">
              <w:rPr>
                <w:sz w:val="28"/>
                <w:szCs w:val="28"/>
                <w:lang w:val="uk-UA"/>
              </w:rPr>
              <w:t>і</w:t>
            </w:r>
            <w:r w:rsidR="00843249">
              <w:rPr>
                <w:sz w:val="28"/>
                <w:szCs w:val="28"/>
                <w:lang w:val="uk-UA"/>
              </w:rPr>
              <w:t>йної площі</w:t>
            </w:r>
            <w:r>
              <w:rPr>
                <w:sz w:val="28"/>
                <w:szCs w:val="28"/>
                <w:lang w:val="uk-UA"/>
              </w:rPr>
              <w:t xml:space="preserve"> проектного родовища</w:t>
            </w:r>
            <w:r w:rsidR="00236D6A">
              <w:rPr>
                <w:sz w:val="28"/>
                <w:szCs w:val="28"/>
                <w:lang w:val="uk-UA"/>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185"/>
              <w:gridCol w:w="1950"/>
            </w:tblGrid>
            <w:tr w:rsidR="00843249" w:rsidRPr="002B7429" w14:paraId="6C1CD348" w14:textId="77777777" w:rsidTr="00461891">
              <w:tc>
                <w:tcPr>
                  <w:tcW w:w="2160" w:type="dxa"/>
                  <w:shd w:val="clear" w:color="auto" w:fill="auto"/>
                </w:tcPr>
                <w:p w14:paraId="68895DDB" w14:textId="77777777" w:rsidR="00843249" w:rsidRPr="002B7429" w:rsidRDefault="00843249" w:rsidP="00461891">
                  <w:pPr>
                    <w:jc w:val="center"/>
                  </w:pPr>
                  <w:r w:rsidRPr="002B7429">
                    <w:t>1</w:t>
                  </w:r>
                </w:p>
                <w:p w14:paraId="78E27B4A" w14:textId="77777777" w:rsidR="00843249" w:rsidRPr="002B7429" w:rsidRDefault="00843249" w:rsidP="00461891">
                  <w:pPr>
                    <w:jc w:val="center"/>
                  </w:pPr>
                  <w:r w:rsidRPr="002B7429">
                    <w:t>2</w:t>
                  </w:r>
                </w:p>
                <w:p w14:paraId="23A0B2D5" w14:textId="77777777" w:rsidR="00843249" w:rsidRPr="002B7429" w:rsidRDefault="00843249" w:rsidP="00461891">
                  <w:pPr>
                    <w:jc w:val="center"/>
                  </w:pPr>
                  <w:r w:rsidRPr="002B7429">
                    <w:t>3</w:t>
                  </w:r>
                </w:p>
                <w:p w14:paraId="66F94D0C" w14:textId="77777777" w:rsidR="00843249" w:rsidRPr="002B7429" w:rsidRDefault="00843249" w:rsidP="00461891">
                  <w:pPr>
                    <w:jc w:val="center"/>
                  </w:pPr>
                  <w:r w:rsidRPr="002B7429">
                    <w:t>4</w:t>
                  </w:r>
                </w:p>
                <w:p w14:paraId="050DC3FE" w14:textId="77777777" w:rsidR="00843249" w:rsidRPr="002B7429" w:rsidRDefault="00843249" w:rsidP="00461891">
                  <w:pPr>
                    <w:jc w:val="center"/>
                  </w:pPr>
                  <w:r w:rsidRPr="002B7429">
                    <w:t>5</w:t>
                  </w:r>
                </w:p>
                <w:p w14:paraId="7C2499B2" w14:textId="77777777" w:rsidR="00843249" w:rsidRPr="002B7429" w:rsidRDefault="00843249" w:rsidP="00461891">
                  <w:pPr>
                    <w:jc w:val="center"/>
                  </w:pPr>
                  <w:r w:rsidRPr="002B7429">
                    <w:t>6</w:t>
                  </w:r>
                </w:p>
              </w:tc>
              <w:tc>
                <w:tcPr>
                  <w:tcW w:w="3840" w:type="dxa"/>
                  <w:shd w:val="clear" w:color="auto" w:fill="auto"/>
                </w:tcPr>
                <w:p w14:paraId="23294B3C" w14:textId="77777777" w:rsidR="00843249" w:rsidRPr="002B7429" w:rsidRDefault="00843249" w:rsidP="00461891">
                  <w:pPr>
                    <w:jc w:val="center"/>
                  </w:pPr>
                  <w:r w:rsidRPr="002B7429">
                    <w:t>48</w:t>
                  </w:r>
                  <w:r w:rsidRPr="00461891">
                    <w:rPr>
                      <w:vertAlign w:val="superscript"/>
                    </w:rPr>
                    <w:t>0</w:t>
                  </w:r>
                  <w:r w:rsidRPr="002B7429">
                    <w:t>20′37"</w:t>
                  </w:r>
                </w:p>
                <w:p w14:paraId="02380329" w14:textId="77777777" w:rsidR="00843249" w:rsidRPr="002B7429" w:rsidRDefault="00843249" w:rsidP="00461891">
                  <w:pPr>
                    <w:jc w:val="center"/>
                  </w:pPr>
                  <w:r w:rsidRPr="002B7429">
                    <w:t>48</w:t>
                  </w:r>
                  <w:r w:rsidRPr="00461891">
                    <w:rPr>
                      <w:vertAlign w:val="superscript"/>
                    </w:rPr>
                    <w:t>0</w:t>
                  </w:r>
                  <w:r w:rsidRPr="002B7429">
                    <w:t>20′37"</w:t>
                  </w:r>
                </w:p>
                <w:p w14:paraId="39DDDE83" w14:textId="77777777" w:rsidR="00843249" w:rsidRPr="002B7429" w:rsidRDefault="00843249" w:rsidP="00461891">
                  <w:pPr>
                    <w:jc w:val="center"/>
                  </w:pPr>
                  <w:r w:rsidRPr="002B7429">
                    <w:t>48</w:t>
                  </w:r>
                  <w:r w:rsidRPr="00461891">
                    <w:rPr>
                      <w:vertAlign w:val="superscript"/>
                    </w:rPr>
                    <w:t>0</w:t>
                  </w:r>
                  <w:r w:rsidRPr="002B7429">
                    <w:t>20′40"</w:t>
                  </w:r>
                </w:p>
                <w:p w14:paraId="0FAE1E4A" w14:textId="77777777" w:rsidR="00843249" w:rsidRPr="002B7429" w:rsidRDefault="00843249" w:rsidP="00461891">
                  <w:pPr>
                    <w:jc w:val="center"/>
                  </w:pPr>
                  <w:r w:rsidRPr="002B7429">
                    <w:t>48</w:t>
                  </w:r>
                  <w:r w:rsidRPr="00461891">
                    <w:rPr>
                      <w:vertAlign w:val="superscript"/>
                    </w:rPr>
                    <w:t>0</w:t>
                  </w:r>
                  <w:r w:rsidRPr="002B7429">
                    <w:t>20′45"</w:t>
                  </w:r>
                </w:p>
                <w:p w14:paraId="25CCA712" w14:textId="77777777" w:rsidR="00843249" w:rsidRPr="002B7429" w:rsidRDefault="00843249" w:rsidP="00461891">
                  <w:pPr>
                    <w:jc w:val="center"/>
                  </w:pPr>
                  <w:r w:rsidRPr="002B7429">
                    <w:t>48</w:t>
                  </w:r>
                  <w:r w:rsidRPr="00461891">
                    <w:rPr>
                      <w:vertAlign w:val="superscript"/>
                    </w:rPr>
                    <w:t>0</w:t>
                  </w:r>
                  <w:r w:rsidRPr="002B7429">
                    <w:t>20′49"</w:t>
                  </w:r>
                </w:p>
                <w:p w14:paraId="37321B22" w14:textId="77777777" w:rsidR="00843249" w:rsidRPr="002B7429" w:rsidRDefault="00843249" w:rsidP="00461891">
                  <w:pPr>
                    <w:jc w:val="center"/>
                  </w:pPr>
                  <w:r w:rsidRPr="002B7429">
                    <w:t>48</w:t>
                  </w:r>
                  <w:r w:rsidRPr="00461891">
                    <w:rPr>
                      <w:vertAlign w:val="superscript"/>
                    </w:rPr>
                    <w:t>0</w:t>
                  </w:r>
                  <w:r w:rsidRPr="002B7429">
                    <w:t>20′51"</w:t>
                  </w:r>
                </w:p>
              </w:tc>
              <w:tc>
                <w:tcPr>
                  <w:tcW w:w="3223" w:type="dxa"/>
                  <w:shd w:val="clear" w:color="auto" w:fill="auto"/>
                </w:tcPr>
                <w:p w14:paraId="1847A6AB" w14:textId="77777777" w:rsidR="00843249" w:rsidRPr="002B7429" w:rsidRDefault="00843249" w:rsidP="00461891">
                  <w:pPr>
                    <w:jc w:val="center"/>
                  </w:pPr>
                  <w:r w:rsidRPr="002B7429">
                    <w:t>22</w:t>
                  </w:r>
                  <w:r w:rsidRPr="00461891">
                    <w:rPr>
                      <w:vertAlign w:val="superscript"/>
                    </w:rPr>
                    <w:t>0</w:t>
                  </w:r>
                  <w:r w:rsidRPr="002B7429">
                    <w:t>57′11"</w:t>
                  </w:r>
                </w:p>
                <w:p w14:paraId="0FD1B442" w14:textId="77777777" w:rsidR="00843249" w:rsidRPr="002B7429" w:rsidRDefault="00843249" w:rsidP="00461891">
                  <w:pPr>
                    <w:jc w:val="center"/>
                  </w:pPr>
                  <w:r w:rsidRPr="002B7429">
                    <w:t>22</w:t>
                  </w:r>
                  <w:r w:rsidRPr="00461891">
                    <w:rPr>
                      <w:vertAlign w:val="superscript"/>
                    </w:rPr>
                    <w:t>0</w:t>
                  </w:r>
                  <w:r w:rsidRPr="002B7429">
                    <w:t>57′23"</w:t>
                  </w:r>
                </w:p>
                <w:p w14:paraId="7AFCFC0C" w14:textId="77777777" w:rsidR="00843249" w:rsidRPr="002B7429" w:rsidRDefault="00843249" w:rsidP="00461891">
                  <w:pPr>
                    <w:jc w:val="center"/>
                  </w:pPr>
                  <w:r w:rsidRPr="002B7429">
                    <w:t>22</w:t>
                  </w:r>
                  <w:r w:rsidRPr="00461891">
                    <w:rPr>
                      <w:vertAlign w:val="superscript"/>
                    </w:rPr>
                    <w:t>0</w:t>
                  </w:r>
                  <w:r w:rsidRPr="002B7429">
                    <w:t>57′34"</w:t>
                  </w:r>
                </w:p>
                <w:p w14:paraId="565E61C7" w14:textId="77777777" w:rsidR="00843249" w:rsidRPr="002B7429" w:rsidRDefault="00843249" w:rsidP="00461891">
                  <w:pPr>
                    <w:jc w:val="center"/>
                  </w:pPr>
                  <w:r w:rsidRPr="002B7429">
                    <w:t>22</w:t>
                  </w:r>
                  <w:r w:rsidRPr="00461891">
                    <w:rPr>
                      <w:vertAlign w:val="superscript"/>
                    </w:rPr>
                    <w:t>0</w:t>
                  </w:r>
                  <w:r w:rsidRPr="002B7429">
                    <w:t>57′30"</w:t>
                  </w:r>
                </w:p>
                <w:p w14:paraId="7DD9EE39" w14:textId="77777777" w:rsidR="00843249" w:rsidRPr="002B7429" w:rsidRDefault="00843249" w:rsidP="00461891">
                  <w:pPr>
                    <w:jc w:val="center"/>
                  </w:pPr>
                  <w:r w:rsidRPr="002B7429">
                    <w:t>22</w:t>
                  </w:r>
                  <w:r w:rsidRPr="00461891">
                    <w:rPr>
                      <w:vertAlign w:val="superscript"/>
                    </w:rPr>
                    <w:t>0</w:t>
                  </w:r>
                  <w:r w:rsidRPr="002B7429">
                    <w:t>57′20"</w:t>
                  </w:r>
                </w:p>
                <w:p w14:paraId="2C95063B" w14:textId="77777777" w:rsidR="00843249" w:rsidRPr="002B7429" w:rsidRDefault="00843249" w:rsidP="00461891">
                  <w:pPr>
                    <w:jc w:val="center"/>
                  </w:pPr>
                  <w:r w:rsidRPr="002B7429">
                    <w:t>22</w:t>
                  </w:r>
                  <w:r w:rsidRPr="00461891">
                    <w:rPr>
                      <w:vertAlign w:val="superscript"/>
                    </w:rPr>
                    <w:t>0</w:t>
                  </w:r>
                  <w:r w:rsidRPr="002B7429">
                    <w:t>57′11"</w:t>
                  </w:r>
                </w:p>
              </w:tc>
            </w:tr>
          </w:tbl>
          <w:p w14:paraId="788221FB" w14:textId="77777777" w:rsidR="002B560C" w:rsidRDefault="002B560C" w:rsidP="00C94CC9">
            <w:pPr>
              <w:autoSpaceDE w:val="0"/>
              <w:autoSpaceDN w:val="0"/>
              <w:adjustRightInd w:val="0"/>
              <w:jc w:val="both"/>
              <w:rPr>
                <w:sz w:val="28"/>
                <w:szCs w:val="28"/>
                <w:lang w:val="uk-UA"/>
              </w:rPr>
            </w:pPr>
          </w:p>
          <w:p w14:paraId="1995487D" w14:textId="77777777" w:rsidR="00096877" w:rsidRPr="00096877" w:rsidRDefault="00096877" w:rsidP="00096877">
            <w:pPr>
              <w:autoSpaceDE w:val="0"/>
              <w:autoSpaceDN w:val="0"/>
              <w:adjustRightInd w:val="0"/>
              <w:jc w:val="both"/>
              <w:rPr>
                <w:sz w:val="28"/>
                <w:szCs w:val="28"/>
                <w:lang w:val="uk-UA"/>
              </w:rPr>
            </w:pPr>
            <w:r w:rsidRPr="00096877">
              <w:rPr>
                <w:sz w:val="28"/>
                <w:szCs w:val="28"/>
                <w:lang w:val="uk-UA"/>
              </w:rPr>
              <w:t xml:space="preserve">Геологорозвідувальні роботи на </w:t>
            </w:r>
            <w:proofErr w:type="spellStart"/>
            <w:r w:rsidRPr="00096877">
              <w:rPr>
                <w:sz w:val="28"/>
                <w:szCs w:val="28"/>
                <w:lang w:val="uk-UA"/>
              </w:rPr>
              <w:t>Арданівському</w:t>
            </w:r>
            <w:proofErr w:type="spellEnd"/>
            <w:r w:rsidRPr="00096877">
              <w:rPr>
                <w:sz w:val="28"/>
                <w:szCs w:val="28"/>
                <w:lang w:val="uk-UA"/>
              </w:rPr>
              <w:t xml:space="preserve"> родовищі андезиту виконані Республіканським проектно-вишукувальним інститутом «</w:t>
            </w:r>
            <w:proofErr w:type="spellStart"/>
            <w:r w:rsidRPr="00096877">
              <w:rPr>
                <w:sz w:val="28"/>
                <w:szCs w:val="28"/>
                <w:lang w:val="uk-UA"/>
              </w:rPr>
              <w:t>Укрколгосппроект</w:t>
            </w:r>
            <w:proofErr w:type="spellEnd"/>
            <w:r w:rsidRPr="00096877">
              <w:rPr>
                <w:sz w:val="28"/>
                <w:szCs w:val="28"/>
                <w:lang w:val="uk-UA"/>
              </w:rPr>
              <w:t xml:space="preserve">» в 1973-1974р.р. по замовленню </w:t>
            </w:r>
            <w:proofErr w:type="spellStart"/>
            <w:r w:rsidRPr="00096877">
              <w:rPr>
                <w:sz w:val="28"/>
                <w:szCs w:val="28"/>
                <w:lang w:val="uk-UA"/>
              </w:rPr>
              <w:t>Іршавського</w:t>
            </w:r>
            <w:proofErr w:type="spellEnd"/>
            <w:r w:rsidRPr="00096877">
              <w:rPr>
                <w:sz w:val="28"/>
                <w:szCs w:val="28"/>
                <w:lang w:val="uk-UA"/>
              </w:rPr>
              <w:t xml:space="preserve"> </w:t>
            </w:r>
            <w:r w:rsidRPr="00096877">
              <w:rPr>
                <w:sz w:val="28"/>
                <w:szCs w:val="28"/>
                <w:lang w:val="uk-UA"/>
              </w:rPr>
              <w:lastRenderedPageBreak/>
              <w:t>управління «</w:t>
            </w:r>
            <w:proofErr w:type="spellStart"/>
            <w:r w:rsidRPr="00096877">
              <w:rPr>
                <w:sz w:val="28"/>
                <w:szCs w:val="28"/>
                <w:lang w:val="uk-UA"/>
              </w:rPr>
              <w:t>Міжколгоспшляхбуд</w:t>
            </w:r>
            <w:proofErr w:type="spellEnd"/>
            <w:r w:rsidRPr="00096877">
              <w:rPr>
                <w:sz w:val="28"/>
                <w:szCs w:val="28"/>
                <w:lang w:val="uk-UA"/>
              </w:rPr>
              <w:t>». Розвідані запаси андезиту в тис. м3 та за категоріями  складають:</w:t>
            </w:r>
          </w:p>
          <w:p w14:paraId="0F0AA354" w14:textId="77777777" w:rsidR="00096877" w:rsidRPr="00096877" w:rsidRDefault="00096877" w:rsidP="00096877">
            <w:pPr>
              <w:autoSpaceDE w:val="0"/>
              <w:autoSpaceDN w:val="0"/>
              <w:adjustRightInd w:val="0"/>
              <w:jc w:val="both"/>
              <w:rPr>
                <w:sz w:val="28"/>
                <w:szCs w:val="28"/>
                <w:lang w:val="uk-UA"/>
              </w:rPr>
            </w:pPr>
            <w:r w:rsidRPr="00096877">
              <w:rPr>
                <w:sz w:val="28"/>
                <w:szCs w:val="28"/>
                <w:lang w:val="uk-UA"/>
              </w:rPr>
              <w:t></w:t>
            </w:r>
            <w:r w:rsidRPr="00096877">
              <w:rPr>
                <w:sz w:val="28"/>
                <w:szCs w:val="28"/>
                <w:lang w:val="uk-UA"/>
              </w:rPr>
              <w:tab/>
              <w:t>А – 304,9;</w:t>
            </w:r>
          </w:p>
          <w:p w14:paraId="26287EAC" w14:textId="77777777" w:rsidR="00096877" w:rsidRPr="00096877" w:rsidRDefault="00096877" w:rsidP="00096877">
            <w:pPr>
              <w:autoSpaceDE w:val="0"/>
              <w:autoSpaceDN w:val="0"/>
              <w:adjustRightInd w:val="0"/>
              <w:jc w:val="both"/>
              <w:rPr>
                <w:sz w:val="28"/>
                <w:szCs w:val="28"/>
                <w:lang w:val="uk-UA"/>
              </w:rPr>
            </w:pPr>
            <w:r w:rsidRPr="00096877">
              <w:rPr>
                <w:sz w:val="28"/>
                <w:szCs w:val="28"/>
                <w:lang w:val="uk-UA"/>
              </w:rPr>
              <w:t></w:t>
            </w:r>
            <w:r w:rsidRPr="00096877">
              <w:rPr>
                <w:sz w:val="28"/>
                <w:szCs w:val="28"/>
                <w:lang w:val="uk-UA"/>
              </w:rPr>
              <w:tab/>
              <w:t>В – 1914,6;</w:t>
            </w:r>
          </w:p>
          <w:p w14:paraId="7A9045F3" w14:textId="77777777" w:rsidR="00096877" w:rsidRPr="00096877" w:rsidRDefault="00096877" w:rsidP="00096877">
            <w:pPr>
              <w:autoSpaceDE w:val="0"/>
              <w:autoSpaceDN w:val="0"/>
              <w:adjustRightInd w:val="0"/>
              <w:jc w:val="both"/>
              <w:rPr>
                <w:sz w:val="28"/>
                <w:szCs w:val="28"/>
                <w:lang w:val="uk-UA"/>
              </w:rPr>
            </w:pPr>
            <w:r w:rsidRPr="00096877">
              <w:rPr>
                <w:sz w:val="28"/>
                <w:szCs w:val="28"/>
                <w:lang w:val="uk-UA"/>
              </w:rPr>
              <w:t></w:t>
            </w:r>
            <w:r w:rsidRPr="00096877">
              <w:rPr>
                <w:sz w:val="28"/>
                <w:szCs w:val="28"/>
                <w:lang w:val="uk-UA"/>
              </w:rPr>
              <w:tab/>
              <w:t>С1 – 670,2;</w:t>
            </w:r>
          </w:p>
          <w:p w14:paraId="0BD887B2" w14:textId="77777777" w:rsidR="00096877" w:rsidRPr="00096877" w:rsidRDefault="00096877" w:rsidP="00096877">
            <w:pPr>
              <w:autoSpaceDE w:val="0"/>
              <w:autoSpaceDN w:val="0"/>
              <w:adjustRightInd w:val="0"/>
              <w:jc w:val="both"/>
              <w:rPr>
                <w:sz w:val="28"/>
                <w:szCs w:val="28"/>
                <w:lang w:val="uk-UA"/>
              </w:rPr>
            </w:pPr>
            <w:r w:rsidRPr="00096877">
              <w:rPr>
                <w:sz w:val="28"/>
                <w:szCs w:val="28"/>
                <w:lang w:val="uk-UA"/>
              </w:rPr>
              <w:t></w:t>
            </w:r>
            <w:r w:rsidRPr="00096877">
              <w:rPr>
                <w:sz w:val="28"/>
                <w:szCs w:val="28"/>
                <w:lang w:val="uk-UA"/>
              </w:rPr>
              <w:tab/>
              <w:t>А+В+С1 – 2889,7.</w:t>
            </w:r>
          </w:p>
          <w:p w14:paraId="01DD3263" w14:textId="44545B46" w:rsidR="002C5A2F" w:rsidRPr="00C94CC9" w:rsidRDefault="00096877" w:rsidP="00867170">
            <w:pPr>
              <w:autoSpaceDE w:val="0"/>
              <w:autoSpaceDN w:val="0"/>
              <w:adjustRightInd w:val="0"/>
              <w:jc w:val="both"/>
              <w:rPr>
                <w:sz w:val="28"/>
                <w:szCs w:val="28"/>
                <w:lang w:val="uk-UA"/>
              </w:rPr>
            </w:pPr>
            <w:r w:rsidRPr="00096877">
              <w:rPr>
                <w:sz w:val="28"/>
                <w:szCs w:val="28"/>
                <w:lang w:val="uk-UA"/>
              </w:rPr>
              <w:t>Корисна копалина представлена андезитом придатним для виробництва щебню марки «1200», що відповідає вимогам ГОСТ 8267-64, та бутового каменю марки «800».</w:t>
            </w:r>
          </w:p>
        </w:tc>
      </w:tr>
      <w:tr w:rsidR="002C5A2F" w:rsidRPr="00C94CC9" w14:paraId="20553EDF" w14:textId="77777777" w:rsidTr="00E5610D">
        <w:tc>
          <w:tcPr>
            <w:tcW w:w="647" w:type="dxa"/>
            <w:tcBorders>
              <w:bottom w:val="nil"/>
            </w:tcBorders>
            <w:shd w:val="clear" w:color="auto" w:fill="auto"/>
          </w:tcPr>
          <w:p w14:paraId="419CF49A" w14:textId="677BD882" w:rsidR="002C5A2F" w:rsidRPr="00C94CC9" w:rsidRDefault="00EA1849" w:rsidP="00C94CC9">
            <w:pPr>
              <w:numPr>
                <w:ilvl w:val="0"/>
                <w:numId w:val="1"/>
              </w:numPr>
              <w:jc w:val="center"/>
              <w:rPr>
                <w:sz w:val="28"/>
                <w:szCs w:val="28"/>
                <w:lang w:val="uk-UA"/>
              </w:rPr>
            </w:pPr>
            <w:r>
              <w:br w:type="page"/>
            </w:r>
          </w:p>
        </w:tc>
        <w:tc>
          <w:tcPr>
            <w:tcW w:w="3072" w:type="dxa"/>
            <w:tcBorders>
              <w:bottom w:val="nil"/>
            </w:tcBorders>
            <w:shd w:val="clear" w:color="auto" w:fill="auto"/>
          </w:tcPr>
          <w:p w14:paraId="3D607D1B" w14:textId="77777777" w:rsidR="002C5A2F" w:rsidRPr="00C94CC9" w:rsidRDefault="00010C90" w:rsidP="002C5A2F">
            <w:pPr>
              <w:rPr>
                <w:sz w:val="28"/>
                <w:szCs w:val="28"/>
                <w:lang w:val="uk-UA"/>
              </w:rPr>
            </w:pPr>
            <w:r w:rsidRPr="00C94CC9">
              <w:rPr>
                <w:sz w:val="28"/>
                <w:szCs w:val="28"/>
                <w:lang w:val="uk-UA"/>
              </w:rPr>
              <w:t>Й</w:t>
            </w:r>
            <w:r w:rsidR="002C5A2F" w:rsidRPr="00C94CC9">
              <w:rPr>
                <w:sz w:val="28"/>
                <w:szCs w:val="28"/>
                <w:lang w:val="uk-UA"/>
              </w:rPr>
              <w:t>мовірні наслідки</w:t>
            </w:r>
          </w:p>
        </w:tc>
        <w:tc>
          <w:tcPr>
            <w:tcW w:w="6028" w:type="dxa"/>
            <w:tcBorders>
              <w:bottom w:val="nil"/>
            </w:tcBorders>
            <w:shd w:val="clear" w:color="auto" w:fill="auto"/>
          </w:tcPr>
          <w:p w14:paraId="39AC4163" w14:textId="77777777" w:rsidR="002C5A2F" w:rsidRPr="00C94CC9" w:rsidRDefault="002C5A2F" w:rsidP="002C5A2F">
            <w:pPr>
              <w:rPr>
                <w:sz w:val="28"/>
                <w:szCs w:val="28"/>
                <w:lang w:val="uk-UA"/>
              </w:rPr>
            </w:pPr>
          </w:p>
        </w:tc>
      </w:tr>
      <w:tr w:rsidR="002C5A2F" w:rsidRPr="00C94CC9" w14:paraId="27DB57A2" w14:textId="77777777" w:rsidTr="00E5610D">
        <w:tc>
          <w:tcPr>
            <w:tcW w:w="647" w:type="dxa"/>
            <w:tcBorders>
              <w:top w:val="nil"/>
            </w:tcBorders>
            <w:shd w:val="clear" w:color="auto" w:fill="auto"/>
          </w:tcPr>
          <w:p w14:paraId="0159A491" w14:textId="77777777" w:rsidR="002C5A2F" w:rsidRPr="00C94CC9" w:rsidRDefault="002C5A2F" w:rsidP="00C94CC9">
            <w:pPr>
              <w:jc w:val="center"/>
              <w:rPr>
                <w:sz w:val="28"/>
                <w:szCs w:val="28"/>
                <w:lang w:val="uk-UA"/>
              </w:rPr>
            </w:pPr>
          </w:p>
        </w:tc>
        <w:tc>
          <w:tcPr>
            <w:tcW w:w="3072" w:type="dxa"/>
            <w:tcBorders>
              <w:top w:val="nil"/>
            </w:tcBorders>
            <w:shd w:val="clear" w:color="auto" w:fill="auto"/>
          </w:tcPr>
          <w:p w14:paraId="670B00F3" w14:textId="77777777" w:rsidR="002C5A2F" w:rsidRPr="00C94CC9" w:rsidRDefault="00010C90" w:rsidP="00C94CC9">
            <w:pPr>
              <w:ind w:left="434"/>
              <w:rPr>
                <w:sz w:val="28"/>
                <w:szCs w:val="28"/>
                <w:lang w:val="uk-UA"/>
              </w:rPr>
            </w:pPr>
            <w:r w:rsidRPr="00C94CC9">
              <w:rPr>
                <w:sz w:val="28"/>
                <w:szCs w:val="28"/>
                <w:lang w:val="uk-UA"/>
              </w:rPr>
              <w:t xml:space="preserve">- </w:t>
            </w:r>
            <w:r w:rsidR="002C5A2F" w:rsidRPr="00C94CC9">
              <w:rPr>
                <w:sz w:val="28"/>
                <w:szCs w:val="28"/>
                <w:lang w:val="uk-UA"/>
              </w:rPr>
              <w:t>для довкілля, у тому числі для здоров’я населення</w:t>
            </w:r>
          </w:p>
        </w:tc>
        <w:tc>
          <w:tcPr>
            <w:tcW w:w="6028" w:type="dxa"/>
            <w:tcBorders>
              <w:top w:val="nil"/>
            </w:tcBorders>
            <w:shd w:val="clear" w:color="auto" w:fill="auto"/>
          </w:tcPr>
          <w:p w14:paraId="616D5215" w14:textId="77777777" w:rsidR="00A9231F" w:rsidRPr="00A9231F" w:rsidRDefault="00A9231F" w:rsidP="00A9231F">
            <w:pPr>
              <w:numPr>
                <w:ilvl w:val="0"/>
                <w:numId w:val="4"/>
              </w:numPr>
              <w:jc w:val="both"/>
              <w:rPr>
                <w:sz w:val="28"/>
                <w:szCs w:val="28"/>
                <w:lang w:val="uk-UA"/>
              </w:rPr>
            </w:pPr>
            <w:r w:rsidRPr="00A9231F">
              <w:rPr>
                <w:sz w:val="28"/>
                <w:szCs w:val="28"/>
                <w:lang w:val="uk-UA"/>
              </w:rPr>
              <w:t>Здоров’я населення – допустимий вплив. Розрахунки викидів забруднюючих речовин в атмосферне повітря показали, що концентрації забруднюючих речовин на межі нормативної санітарно-захисної зони підприємства розміром 300 м складуть менше ГДК, що відповідає санітарним та екологічним вимогам.</w:t>
            </w:r>
          </w:p>
          <w:p w14:paraId="39F2D455" w14:textId="77777777" w:rsidR="00A9231F" w:rsidRPr="00A9231F" w:rsidRDefault="00A9231F" w:rsidP="00A9231F">
            <w:pPr>
              <w:numPr>
                <w:ilvl w:val="0"/>
                <w:numId w:val="4"/>
              </w:numPr>
              <w:jc w:val="both"/>
              <w:rPr>
                <w:sz w:val="28"/>
                <w:szCs w:val="28"/>
                <w:lang w:val="uk-UA"/>
              </w:rPr>
            </w:pPr>
            <w:r w:rsidRPr="00A9231F">
              <w:rPr>
                <w:sz w:val="28"/>
                <w:szCs w:val="28"/>
                <w:lang w:val="uk-UA"/>
              </w:rPr>
              <w:t>Розрахунковий неканцерогенний ризик для здоров’я населення при впливі забруднюючих речовин, що викидаються джерелами викидів підприємства, є припустимим, ймовірність виникнення шкідливих ефектів у населення практично відсутня. Вдосконалення системи контролю за станом відходів, способами їх тимчасового зберігання забезпечують мінімальний залишковий рівень впливу планової діяльності на умови  життєдіяльності місцевого населення та його здоров’я; санітарно-захисна зона (СЗЗ) для даного об’єкту витримана. В цілому, вплив планової діяльності об’єкту на соціально-економічне середовище можна оцінити, як допустимий.</w:t>
            </w:r>
          </w:p>
          <w:p w14:paraId="33C89F84" w14:textId="77777777" w:rsidR="00A9231F" w:rsidRPr="00A9231F" w:rsidRDefault="00A9231F" w:rsidP="00A9231F">
            <w:pPr>
              <w:numPr>
                <w:ilvl w:val="0"/>
                <w:numId w:val="4"/>
              </w:numPr>
              <w:jc w:val="both"/>
              <w:rPr>
                <w:sz w:val="28"/>
                <w:szCs w:val="28"/>
                <w:lang w:val="uk-UA"/>
              </w:rPr>
            </w:pPr>
            <w:r w:rsidRPr="00A9231F">
              <w:rPr>
                <w:sz w:val="28"/>
                <w:szCs w:val="28"/>
                <w:lang w:val="uk-UA"/>
              </w:rPr>
              <w:t xml:space="preserve">Стан фауни, флори, землі (в тому числі вилучення земельних ділянок) – територія розташування знаходиться в межах Закарпатської області. На </w:t>
            </w:r>
            <w:r w:rsidRPr="00A9231F">
              <w:rPr>
                <w:sz w:val="28"/>
                <w:szCs w:val="28"/>
                <w:lang w:val="uk-UA"/>
              </w:rPr>
              <w:lastRenderedPageBreak/>
              <w:t>майданчику відсутні цінні види рослин і не зустрічаються рідкісні види тварин і птахів. На території, що відведена під кар’єр та відвали, заповідні зони відсутні.</w:t>
            </w:r>
          </w:p>
          <w:p w14:paraId="329C4E3D" w14:textId="77777777" w:rsidR="00A9231F" w:rsidRPr="00A9231F" w:rsidRDefault="00A9231F" w:rsidP="00A9231F">
            <w:pPr>
              <w:numPr>
                <w:ilvl w:val="0"/>
                <w:numId w:val="4"/>
              </w:numPr>
              <w:jc w:val="both"/>
              <w:rPr>
                <w:sz w:val="28"/>
                <w:szCs w:val="28"/>
                <w:lang w:val="uk-UA"/>
              </w:rPr>
            </w:pPr>
            <w:r w:rsidRPr="00A9231F">
              <w:rPr>
                <w:sz w:val="28"/>
                <w:szCs w:val="28"/>
                <w:lang w:val="uk-UA"/>
              </w:rPr>
              <w:t xml:space="preserve">Ще в ході підготовчих робіт до планованої діяльності передбачається вилучення земельної  ділянки, в контурі якої розташоване </w:t>
            </w:r>
            <w:proofErr w:type="spellStart"/>
            <w:r w:rsidRPr="00A9231F">
              <w:rPr>
                <w:sz w:val="28"/>
                <w:szCs w:val="28"/>
                <w:lang w:val="uk-UA"/>
              </w:rPr>
              <w:t>Арданівське</w:t>
            </w:r>
            <w:proofErr w:type="spellEnd"/>
            <w:r w:rsidRPr="00A9231F">
              <w:rPr>
                <w:sz w:val="28"/>
                <w:szCs w:val="28"/>
                <w:lang w:val="uk-UA"/>
              </w:rPr>
              <w:t xml:space="preserve"> родовище </w:t>
            </w:r>
            <w:proofErr w:type="spellStart"/>
            <w:r w:rsidRPr="00A9231F">
              <w:rPr>
                <w:sz w:val="28"/>
                <w:szCs w:val="28"/>
                <w:lang w:val="uk-UA"/>
              </w:rPr>
              <w:t>андезито</w:t>
            </w:r>
            <w:proofErr w:type="spellEnd"/>
            <w:r w:rsidRPr="00A9231F">
              <w:rPr>
                <w:sz w:val="28"/>
                <w:szCs w:val="28"/>
                <w:lang w:val="uk-UA"/>
              </w:rPr>
              <w:t xml:space="preserve">-базальтів, зі переведенням </w:t>
            </w:r>
            <w:proofErr w:type="spellStart"/>
            <w:r w:rsidRPr="00A9231F">
              <w:rPr>
                <w:sz w:val="28"/>
                <w:szCs w:val="28"/>
                <w:lang w:val="uk-UA"/>
              </w:rPr>
              <w:t>ії</w:t>
            </w:r>
            <w:proofErr w:type="spellEnd"/>
            <w:r w:rsidRPr="00A9231F">
              <w:rPr>
                <w:sz w:val="28"/>
                <w:szCs w:val="28"/>
                <w:lang w:val="uk-UA"/>
              </w:rPr>
              <w:t xml:space="preserve"> з земель лісогосподарського призначення у категорію земель промисловості з метою довгострокового (40 років) використання при розробці розташованих на </w:t>
            </w:r>
            <w:proofErr w:type="spellStart"/>
            <w:r w:rsidRPr="00A9231F">
              <w:rPr>
                <w:sz w:val="28"/>
                <w:szCs w:val="28"/>
                <w:lang w:val="uk-UA"/>
              </w:rPr>
              <w:t>ії</w:t>
            </w:r>
            <w:proofErr w:type="spellEnd"/>
            <w:r w:rsidRPr="00A9231F">
              <w:rPr>
                <w:sz w:val="28"/>
                <w:szCs w:val="28"/>
                <w:lang w:val="uk-UA"/>
              </w:rPr>
              <w:t xml:space="preserve"> території корисних копалин – </w:t>
            </w:r>
            <w:proofErr w:type="spellStart"/>
            <w:r w:rsidRPr="00A9231F">
              <w:rPr>
                <w:sz w:val="28"/>
                <w:szCs w:val="28"/>
                <w:lang w:val="uk-UA"/>
              </w:rPr>
              <w:t>андезито</w:t>
            </w:r>
            <w:proofErr w:type="spellEnd"/>
            <w:r w:rsidRPr="00A9231F">
              <w:rPr>
                <w:sz w:val="28"/>
                <w:szCs w:val="28"/>
                <w:lang w:val="uk-UA"/>
              </w:rPr>
              <w:t xml:space="preserve">-базальтів </w:t>
            </w:r>
            <w:proofErr w:type="spellStart"/>
            <w:r w:rsidRPr="00A9231F">
              <w:rPr>
                <w:sz w:val="28"/>
                <w:szCs w:val="28"/>
                <w:lang w:val="uk-UA"/>
              </w:rPr>
              <w:t>Арданівського</w:t>
            </w:r>
            <w:proofErr w:type="spellEnd"/>
            <w:r w:rsidRPr="00A9231F">
              <w:rPr>
                <w:sz w:val="28"/>
                <w:szCs w:val="28"/>
                <w:lang w:val="uk-UA"/>
              </w:rPr>
              <w:t xml:space="preserve"> родовища. </w:t>
            </w:r>
          </w:p>
          <w:p w14:paraId="31725859" w14:textId="77777777" w:rsidR="00A9231F" w:rsidRPr="00A9231F" w:rsidRDefault="00A9231F" w:rsidP="00A9231F">
            <w:pPr>
              <w:numPr>
                <w:ilvl w:val="0"/>
                <w:numId w:val="4"/>
              </w:numPr>
              <w:jc w:val="both"/>
              <w:rPr>
                <w:sz w:val="28"/>
                <w:szCs w:val="28"/>
                <w:lang w:val="uk-UA"/>
              </w:rPr>
            </w:pPr>
            <w:r w:rsidRPr="00A9231F">
              <w:rPr>
                <w:sz w:val="28"/>
                <w:szCs w:val="28"/>
                <w:lang w:val="uk-UA"/>
              </w:rPr>
              <w:t>Ґрунт – негативний вплив на ґрунти при розробці кар’єру буде в результаті зняття верхнього шару в процесі розкривних робіт. Складування розкривних порід передбачається в зовнішній відвал.</w:t>
            </w:r>
          </w:p>
          <w:p w14:paraId="0AB40E2D" w14:textId="77777777" w:rsidR="00A9231F" w:rsidRPr="00A9231F" w:rsidRDefault="00A9231F" w:rsidP="00A9231F">
            <w:pPr>
              <w:numPr>
                <w:ilvl w:val="0"/>
                <w:numId w:val="4"/>
              </w:numPr>
              <w:jc w:val="both"/>
              <w:rPr>
                <w:sz w:val="28"/>
                <w:szCs w:val="28"/>
                <w:lang w:val="uk-UA"/>
              </w:rPr>
            </w:pPr>
            <w:r w:rsidRPr="00A9231F">
              <w:rPr>
                <w:sz w:val="28"/>
                <w:szCs w:val="28"/>
                <w:lang w:val="uk-UA"/>
              </w:rPr>
              <w:t>Атмосферне повітря – при оцінці джерел забруднення при розробці кар’єру використовувались дані технологічного процесу, об’ємів використання сировини, технічні характеристики обладнання підприємства при роботі на його повну потужність. Перевищення викидів забруднюючих речовин в атмосферне повітря не встановлено.</w:t>
            </w:r>
          </w:p>
          <w:p w14:paraId="38907E88" w14:textId="77777777" w:rsidR="00A9231F" w:rsidRPr="00A9231F" w:rsidRDefault="00A9231F" w:rsidP="00A9231F">
            <w:pPr>
              <w:numPr>
                <w:ilvl w:val="0"/>
                <w:numId w:val="4"/>
              </w:numPr>
              <w:jc w:val="both"/>
              <w:rPr>
                <w:sz w:val="28"/>
                <w:szCs w:val="28"/>
                <w:lang w:val="uk-UA"/>
              </w:rPr>
            </w:pPr>
            <w:r w:rsidRPr="00A9231F">
              <w:rPr>
                <w:sz w:val="28"/>
                <w:szCs w:val="28"/>
                <w:lang w:val="uk-UA"/>
              </w:rPr>
              <w:t xml:space="preserve">Кліматичні фактори (утому числі зміна клімату та викиди парникових газів) – негативних впливів не передбачається. Змін мікроклімату в результаті планової діяльності не очікується, оскільки в результаті експлуатації об’єкту відсутні значні виділення теплоти, інертних газів, вологи. Особливості кліматичних умов, які сприяють зростанню інтенсивності впливів планової </w:t>
            </w:r>
            <w:r w:rsidRPr="00A9231F">
              <w:rPr>
                <w:sz w:val="28"/>
                <w:szCs w:val="28"/>
                <w:lang w:val="uk-UA"/>
              </w:rPr>
              <w:lastRenderedPageBreak/>
              <w:t>діяльності на навколишнє середовище, відсутні.</w:t>
            </w:r>
          </w:p>
          <w:p w14:paraId="1A530B5D" w14:textId="77777777" w:rsidR="00A9231F" w:rsidRPr="00A9231F" w:rsidRDefault="00A9231F" w:rsidP="00A9231F">
            <w:pPr>
              <w:numPr>
                <w:ilvl w:val="0"/>
                <w:numId w:val="4"/>
              </w:numPr>
              <w:jc w:val="both"/>
              <w:rPr>
                <w:sz w:val="28"/>
                <w:szCs w:val="28"/>
                <w:lang w:val="uk-UA"/>
              </w:rPr>
            </w:pPr>
            <w:r w:rsidRPr="00A9231F">
              <w:rPr>
                <w:sz w:val="28"/>
                <w:szCs w:val="28"/>
                <w:lang w:val="uk-UA"/>
              </w:rPr>
              <w:t>Матеріальні об’єкти, архітектурна, археологічна та культурна спадщина – негативних впливів не передбачається. Об’єкти архітектурної, археологічної та культурної спадщини в районі розташування підприємства відсутні;</w:t>
            </w:r>
          </w:p>
          <w:p w14:paraId="7EE7AE19" w14:textId="77777777" w:rsidR="00A9231F" w:rsidRPr="00A9231F" w:rsidRDefault="00A9231F" w:rsidP="00A9231F">
            <w:pPr>
              <w:numPr>
                <w:ilvl w:val="0"/>
                <w:numId w:val="4"/>
              </w:numPr>
              <w:jc w:val="both"/>
              <w:rPr>
                <w:sz w:val="28"/>
                <w:szCs w:val="28"/>
                <w:lang w:val="uk-UA"/>
              </w:rPr>
            </w:pPr>
            <w:r w:rsidRPr="00A9231F">
              <w:rPr>
                <w:sz w:val="28"/>
                <w:szCs w:val="28"/>
                <w:lang w:val="uk-UA"/>
              </w:rPr>
              <w:t xml:space="preserve">Соціально-економічні умови – позитивні. Найбільш важливими із соціально-економічних факторів є можливість поповнення місцевого бюджету (в </w:t>
            </w:r>
            <w:proofErr w:type="spellStart"/>
            <w:r w:rsidRPr="00A9231F">
              <w:rPr>
                <w:sz w:val="28"/>
                <w:szCs w:val="28"/>
                <w:lang w:val="uk-UA"/>
              </w:rPr>
              <w:t>т.ч</w:t>
            </w:r>
            <w:proofErr w:type="spellEnd"/>
            <w:r w:rsidRPr="00A9231F">
              <w:rPr>
                <w:sz w:val="28"/>
                <w:szCs w:val="28"/>
                <w:lang w:val="uk-UA"/>
              </w:rPr>
              <w:t>. сплати рентної плати за користування надрами) та покращення загальної соціально-економічної ситуації в районі, забезпечення сировиною галузі будівництва, зайнятості місцевого населення та працівників.</w:t>
            </w:r>
          </w:p>
          <w:p w14:paraId="190EE195" w14:textId="77777777" w:rsidR="00A9231F" w:rsidRPr="00A9231F" w:rsidRDefault="00A9231F" w:rsidP="00A9231F">
            <w:pPr>
              <w:numPr>
                <w:ilvl w:val="0"/>
                <w:numId w:val="4"/>
              </w:numPr>
              <w:jc w:val="both"/>
              <w:rPr>
                <w:sz w:val="28"/>
                <w:szCs w:val="28"/>
                <w:lang w:val="uk-UA"/>
              </w:rPr>
            </w:pPr>
            <w:r w:rsidRPr="00A9231F">
              <w:rPr>
                <w:sz w:val="28"/>
                <w:szCs w:val="28"/>
                <w:lang w:val="uk-UA"/>
              </w:rPr>
              <w:t>Техногенне середовище – негативний вплив. Ділянка родовища буде розкрита гірничими роботами. В результаті повної розробки родовища на території земель, що підпадають під розробку, утвориться замкнутий котлован (кар’єр). Розкривні породи розміщуються в зовнішньому відвалі вздовж борту кар’єру, після повної виїмки запасів вони будуть використані для рекультивації.</w:t>
            </w:r>
          </w:p>
          <w:p w14:paraId="2C9694E8" w14:textId="6AF0C534" w:rsidR="003D5FFF" w:rsidRPr="002B23AF" w:rsidRDefault="00A9231F" w:rsidP="00A9231F">
            <w:pPr>
              <w:numPr>
                <w:ilvl w:val="0"/>
                <w:numId w:val="4"/>
              </w:numPr>
              <w:jc w:val="both"/>
              <w:rPr>
                <w:sz w:val="28"/>
                <w:szCs w:val="28"/>
                <w:lang w:val="uk-UA"/>
              </w:rPr>
            </w:pPr>
            <w:r w:rsidRPr="00A9231F">
              <w:rPr>
                <w:sz w:val="28"/>
                <w:szCs w:val="28"/>
                <w:lang w:val="uk-UA"/>
              </w:rPr>
              <w:t>Вплив на довкілля за фактором здійснення операцій у сфері поводження з відходами буде носити довгостроковий характер, однак за рахунок відповідності діючим нормативам є допустимим.</w:t>
            </w:r>
          </w:p>
        </w:tc>
      </w:tr>
      <w:tr w:rsidR="002C5A2F" w:rsidRPr="00673F20" w14:paraId="0A541B5A" w14:textId="77777777" w:rsidTr="00E5610D">
        <w:tc>
          <w:tcPr>
            <w:tcW w:w="647" w:type="dxa"/>
            <w:shd w:val="clear" w:color="auto" w:fill="auto"/>
          </w:tcPr>
          <w:p w14:paraId="24BDA30B" w14:textId="77777777" w:rsidR="002C5A2F" w:rsidRPr="00C94CC9" w:rsidRDefault="002C5A2F" w:rsidP="00C94CC9">
            <w:pPr>
              <w:jc w:val="center"/>
              <w:rPr>
                <w:sz w:val="28"/>
                <w:szCs w:val="28"/>
                <w:lang w:val="uk-UA"/>
              </w:rPr>
            </w:pPr>
          </w:p>
        </w:tc>
        <w:tc>
          <w:tcPr>
            <w:tcW w:w="3072" w:type="dxa"/>
            <w:shd w:val="clear" w:color="auto" w:fill="auto"/>
          </w:tcPr>
          <w:p w14:paraId="1A249186" w14:textId="77777777" w:rsidR="002C5A2F" w:rsidRPr="00C94CC9" w:rsidRDefault="00010C90" w:rsidP="00C94CC9">
            <w:pPr>
              <w:ind w:left="434"/>
              <w:rPr>
                <w:sz w:val="28"/>
                <w:szCs w:val="28"/>
                <w:lang w:val="uk-UA"/>
              </w:rPr>
            </w:pPr>
            <w:r w:rsidRPr="00C94CC9">
              <w:rPr>
                <w:sz w:val="28"/>
                <w:szCs w:val="28"/>
                <w:lang w:val="uk-UA"/>
              </w:rPr>
              <w:t xml:space="preserve">- </w:t>
            </w:r>
            <w:r w:rsidR="002C5A2F" w:rsidRPr="00C94CC9">
              <w:rPr>
                <w:sz w:val="28"/>
                <w:szCs w:val="28"/>
                <w:lang w:val="uk-UA"/>
              </w:rPr>
              <w:t>для територій з природоохоронним статусом</w:t>
            </w:r>
          </w:p>
        </w:tc>
        <w:tc>
          <w:tcPr>
            <w:tcW w:w="6028" w:type="dxa"/>
            <w:shd w:val="clear" w:color="auto" w:fill="auto"/>
          </w:tcPr>
          <w:p w14:paraId="07EF81D2" w14:textId="6213FEC3" w:rsidR="002C5A2F" w:rsidRPr="00C94CC9" w:rsidRDefault="00184B1B" w:rsidP="008015CA">
            <w:pPr>
              <w:rPr>
                <w:sz w:val="28"/>
                <w:szCs w:val="28"/>
                <w:lang w:val="uk-UA"/>
              </w:rPr>
            </w:pPr>
            <w:r w:rsidRPr="00C94CC9">
              <w:rPr>
                <w:sz w:val="28"/>
                <w:szCs w:val="28"/>
                <w:lang w:val="uk-UA"/>
              </w:rPr>
              <w:t>О</w:t>
            </w:r>
            <w:r w:rsidR="00010C90" w:rsidRPr="00C94CC9">
              <w:rPr>
                <w:sz w:val="28"/>
                <w:szCs w:val="28"/>
                <w:lang w:val="uk-UA"/>
              </w:rPr>
              <w:t>б’єкти</w:t>
            </w:r>
            <w:r w:rsidRPr="00C94CC9">
              <w:rPr>
                <w:sz w:val="28"/>
                <w:szCs w:val="28"/>
                <w:lang w:val="uk-UA"/>
              </w:rPr>
              <w:t xml:space="preserve"> природно-заповідного фонду </w:t>
            </w:r>
            <w:r w:rsidR="00010C90" w:rsidRPr="00C94CC9">
              <w:rPr>
                <w:sz w:val="28"/>
                <w:szCs w:val="28"/>
                <w:lang w:val="uk-UA"/>
              </w:rPr>
              <w:t xml:space="preserve">в межах території </w:t>
            </w:r>
            <w:r w:rsidR="00B14135" w:rsidRPr="00C94CC9">
              <w:rPr>
                <w:sz w:val="28"/>
                <w:szCs w:val="28"/>
                <w:lang w:val="uk-UA"/>
              </w:rPr>
              <w:t>проекту</w:t>
            </w:r>
            <w:r w:rsidR="00010C90" w:rsidRPr="00C94CC9">
              <w:rPr>
                <w:sz w:val="28"/>
                <w:szCs w:val="28"/>
                <w:lang w:val="uk-UA"/>
              </w:rPr>
              <w:t xml:space="preserve"> та на прилеглих територіях відсутні</w:t>
            </w:r>
            <w:r w:rsidR="005277AC">
              <w:rPr>
                <w:sz w:val="28"/>
                <w:szCs w:val="28"/>
                <w:lang w:val="uk-UA"/>
              </w:rPr>
              <w:t xml:space="preserve">, </w:t>
            </w:r>
            <w:r w:rsidR="00DE240E">
              <w:rPr>
                <w:sz w:val="28"/>
                <w:szCs w:val="28"/>
                <w:lang w:val="uk-UA"/>
              </w:rPr>
              <w:t xml:space="preserve">вплив на </w:t>
            </w:r>
            <w:r w:rsidR="005277AC">
              <w:rPr>
                <w:sz w:val="28"/>
                <w:szCs w:val="28"/>
                <w:lang w:val="uk-UA"/>
              </w:rPr>
              <w:t xml:space="preserve">найближчий об’єкт </w:t>
            </w:r>
            <w:r w:rsidR="00A71E5F" w:rsidRPr="00A71E5F">
              <w:rPr>
                <w:sz w:val="28"/>
                <w:szCs w:val="28"/>
                <w:lang w:val="uk-UA"/>
              </w:rPr>
              <w:t xml:space="preserve">Гідрологічна пам’ятка природи місцевого значення </w:t>
            </w:r>
            <w:r w:rsidR="007651CC" w:rsidRPr="007651CC">
              <w:rPr>
                <w:sz w:val="28"/>
                <w:szCs w:val="28"/>
                <w:lang w:val="uk-UA"/>
              </w:rPr>
              <w:t>Джерело №2</w:t>
            </w:r>
            <w:r w:rsidR="008015CA">
              <w:rPr>
                <w:sz w:val="28"/>
                <w:szCs w:val="28"/>
                <w:lang w:val="uk-UA"/>
              </w:rPr>
              <w:t>(</w:t>
            </w:r>
            <w:r w:rsidR="00091450" w:rsidRPr="00673F20">
              <w:rPr>
                <w:sz w:val="28"/>
                <w:szCs w:val="28"/>
                <w:lang w:val="uk-UA"/>
              </w:rPr>
              <w:t>2</w:t>
            </w:r>
            <w:r w:rsidR="00091450">
              <w:rPr>
                <w:sz w:val="28"/>
                <w:szCs w:val="28"/>
                <w:lang w:val="uk-UA"/>
              </w:rPr>
              <w:t xml:space="preserve"> км</w:t>
            </w:r>
            <w:r w:rsidR="005277AC">
              <w:rPr>
                <w:sz w:val="28"/>
                <w:szCs w:val="28"/>
                <w:lang w:val="uk-UA"/>
              </w:rPr>
              <w:t xml:space="preserve"> від проектної території</w:t>
            </w:r>
            <w:r w:rsidR="008015CA">
              <w:rPr>
                <w:sz w:val="28"/>
                <w:szCs w:val="28"/>
                <w:lang w:val="uk-UA"/>
              </w:rPr>
              <w:t>)</w:t>
            </w:r>
            <w:r w:rsidR="00DE240E">
              <w:rPr>
                <w:sz w:val="28"/>
                <w:szCs w:val="28"/>
                <w:lang w:val="uk-UA"/>
              </w:rPr>
              <w:t xml:space="preserve"> не передбачається</w:t>
            </w:r>
            <w:r w:rsidR="00D918EA">
              <w:rPr>
                <w:sz w:val="28"/>
                <w:szCs w:val="28"/>
                <w:lang w:val="uk-UA"/>
              </w:rPr>
              <w:t>.</w:t>
            </w:r>
          </w:p>
        </w:tc>
      </w:tr>
      <w:tr w:rsidR="002C5A2F" w:rsidRPr="00C94CC9" w14:paraId="24C6F63A" w14:textId="77777777" w:rsidTr="00E5610D">
        <w:tc>
          <w:tcPr>
            <w:tcW w:w="647" w:type="dxa"/>
            <w:shd w:val="clear" w:color="auto" w:fill="auto"/>
          </w:tcPr>
          <w:p w14:paraId="57A9F8CD" w14:textId="77777777" w:rsidR="002C5A2F" w:rsidRPr="00C94CC9" w:rsidRDefault="002C5A2F" w:rsidP="00C94CC9">
            <w:pPr>
              <w:jc w:val="center"/>
              <w:rPr>
                <w:sz w:val="28"/>
                <w:szCs w:val="28"/>
                <w:lang w:val="uk-UA"/>
              </w:rPr>
            </w:pPr>
          </w:p>
        </w:tc>
        <w:tc>
          <w:tcPr>
            <w:tcW w:w="3072" w:type="dxa"/>
            <w:shd w:val="clear" w:color="auto" w:fill="auto"/>
          </w:tcPr>
          <w:p w14:paraId="2EBAB7A6" w14:textId="77777777" w:rsidR="002C5A2F" w:rsidRPr="00C94CC9" w:rsidRDefault="00010C90" w:rsidP="00C94CC9">
            <w:pPr>
              <w:ind w:left="434"/>
              <w:rPr>
                <w:sz w:val="28"/>
                <w:szCs w:val="28"/>
                <w:lang w:val="uk-UA"/>
              </w:rPr>
            </w:pPr>
            <w:r w:rsidRPr="00C94CC9">
              <w:rPr>
                <w:sz w:val="28"/>
                <w:szCs w:val="28"/>
                <w:lang w:val="uk-UA"/>
              </w:rPr>
              <w:t xml:space="preserve">- </w:t>
            </w:r>
            <w:r w:rsidR="002C5A2F" w:rsidRPr="00C94CC9">
              <w:rPr>
                <w:sz w:val="28"/>
                <w:szCs w:val="28"/>
                <w:lang w:val="uk-UA"/>
              </w:rPr>
              <w:t xml:space="preserve">транскордонні наслідки для </w:t>
            </w:r>
            <w:r w:rsidR="002C5A2F" w:rsidRPr="00C94CC9">
              <w:rPr>
                <w:sz w:val="28"/>
                <w:szCs w:val="28"/>
                <w:lang w:val="uk-UA"/>
              </w:rPr>
              <w:lastRenderedPageBreak/>
              <w:t>довкілля, у тому числі для здоров’я населення</w:t>
            </w:r>
          </w:p>
        </w:tc>
        <w:tc>
          <w:tcPr>
            <w:tcW w:w="6028" w:type="dxa"/>
            <w:shd w:val="clear" w:color="auto" w:fill="auto"/>
          </w:tcPr>
          <w:p w14:paraId="4C2439B7" w14:textId="77777777" w:rsidR="002C5A2F" w:rsidRPr="00C94CC9" w:rsidRDefault="00010C90" w:rsidP="002C5A2F">
            <w:pPr>
              <w:rPr>
                <w:sz w:val="28"/>
                <w:szCs w:val="28"/>
                <w:lang w:val="uk-UA"/>
              </w:rPr>
            </w:pPr>
            <w:r w:rsidRPr="00C94CC9">
              <w:rPr>
                <w:sz w:val="28"/>
                <w:szCs w:val="28"/>
                <w:lang w:val="uk-UA"/>
              </w:rPr>
              <w:lastRenderedPageBreak/>
              <w:t>Транскордонні наслідки для довкілля, у тому числі для здоров’я населення, відсутні.</w:t>
            </w:r>
          </w:p>
        </w:tc>
      </w:tr>
      <w:tr w:rsidR="002C5A2F" w:rsidRPr="00673F20" w14:paraId="60FE5C0A" w14:textId="77777777" w:rsidTr="00E5610D">
        <w:tc>
          <w:tcPr>
            <w:tcW w:w="647" w:type="dxa"/>
            <w:shd w:val="clear" w:color="auto" w:fill="auto"/>
          </w:tcPr>
          <w:p w14:paraId="7FE0D340" w14:textId="77777777" w:rsidR="002C5A2F" w:rsidRPr="00C94CC9" w:rsidRDefault="002C5A2F" w:rsidP="00C94CC9">
            <w:pPr>
              <w:numPr>
                <w:ilvl w:val="0"/>
                <w:numId w:val="1"/>
              </w:numPr>
              <w:jc w:val="center"/>
              <w:rPr>
                <w:sz w:val="28"/>
                <w:szCs w:val="28"/>
                <w:lang w:val="uk-UA"/>
              </w:rPr>
            </w:pPr>
          </w:p>
        </w:tc>
        <w:tc>
          <w:tcPr>
            <w:tcW w:w="3072" w:type="dxa"/>
            <w:shd w:val="clear" w:color="auto" w:fill="auto"/>
          </w:tcPr>
          <w:p w14:paraId="6F1549B0" w14:textId="77777777" w:rsidR="002C5A2F" w:rsidRPr="00C94CC9" w:rsidRDefault="00010C90" w:rsidP="002C5A2F">
            <w:pPr>
              <w:rPr>
                <w:sz w:val="28"/>
                <w:szCs w:val="28"/>
                <w:lang w:val="uk-UA"/>
              </w:rPr>
            </w:pPr>
            <w:r w:rsidRPr="00C94CC9">
              <w:rPr>
                <w:sz w:val="28"/>
                <w:szCs w:val="28"/>
                <w:lang w:val="uk-UA"/>
              </w:rPr>
              <w:t>В</w:t>
            </w:r>
            <w:r w:rsidR="002C5A2F" w:rsidRPr="00C94CC9">
              <w:rPr>
                <w:sz w:val="28"/>
                <w:szCs w:val="28"/>
                <w:lang w:val="uk-UA"/>
              </w:rPr>
              <w:t>иправдані альтернативи, які необхідно розглянути, у тому числі якщо документ державного планування не буде затверджено</w:t>
            </w:r>
          </w:p>
        </w:tc>
        <w:tc>
          <w:tcPr>
            <w:tcW w:w="6028" w:type="dxa"/>
            <w:shd w:val="clear" w:color="auto" w:fill="auto"/>
          </w:tcPr>
          <w:p w14:paraId="366F257F" w14:textId="2FBF0E5D" w:rsidR="00010C90" w:rsidRPr="00C94CC9" w:rsidRDefault="00DE240E" w:rsidP="009F696B">
            <w:pPr>
              <w:jc w:val="both"/>
              <w:rPr>
                <w:sz w:val="28"/>
                <w:szCs w:val="28"/>
                <w:lang w:val="uk-UA"/>
              </w:rPr>
            </w:pPr>
            <w:r w:rsidRPr="00DE240E">
              <w:rPr>
                <w:sz w:val="28"/>
                <w:szCs w:val="28"/>
                <w:lang w:val="uk-UA"/>
              </w:rPr>
              <w:t>Необхідності у розгляданні альтернатив планованої діяльності (у тому числі якщо документ державного планування не буде затверджено) немає</w:t>
            </w:r>
            <w:r w:rsidR="007E7C3A" w:rsidRPr="007E7C3A">
              <w:rPr>
                <w:sz w:val="28"/>
                <w:szCs w:val="28"/>
                <w:lang w:val="uk-UA"/>
              </w:rPr>
              <w:t>, планова діяльність відбуватиметься в межах розвіданої площі, наявні затверджені запаси.</w:t>
            </w:r>
          </w:p>
        </w:tc>
      </w:tr>
      <w:tr w:rsidR="002C5A2F" w:rsidRPr="00C94CC9" w14:paraId="74B2EE45" w14:textId="77777777" w:rsidTr="009E1831">
        <w:tc>
          <w:tcPr>
            <w:tcW w:w="647" w:type="dxa"/>
            <w:shd w:val="clear" w:color="auto" w:fill="auto"/>
          </w:tcPr>
          <w:p w14:paraId="191DE2D9" w14:textId="77777777" w:rsidR="002C5A2F" w:rsidRPr="00C94CC9" w:rsidRDefault="002C5A2F" w:rsidP="00C94CC9">
            <w:pPr>
              <w:numPr>
                <w:ilvl w:val="0"/>
                <w:numId w:val="1"/>
              </w:numPr>
              <w:jc w:val="center"/>
              <w:rPr>
                <w:sz w:val="28"/>
                <w:szCs w:val="28"/>
                <w:lang w:val="uk-UA"/>
              </w:rPr>
            </w:pPr>
          </w:p>
        </w:tc>
        <w:tc>
          <w:tcPr>
            <w:tcW w:w="3072" w:type="dxa"/>
            <w:shd w:val="clear" w:color="auto" w:fill="auto"/>
          </w:tcPr>
          <w:p w14:paraId="2A9451EF" w14:textId="77777777" w:rsidR="002C5A2F" w:rsidRPr="00C94CC9" w:rsidRDefault="00010C90" w:rsidP="002C5A2F">
            <w:pPr>
              <w:rPr>
                <w:sz w:val="28"/>
                <w:szCs w:val="28"/>
                <w:lang w:val="uk-UA"/>
              </w:rPr>
            </w:pPr>
            <w:r w:rsidRPr="00C94CC9">
              <w:rPr>
                <w:sz w:val="28"/>
                <w:szCs w:val="28"/>
                <w:lang w:val="uk-UA"/>
              </w:rPr>
              <w:t>Д</w:t>
            </w:r>
            <w:r w:rsidR="002C5A2F" w:rsidRPr="00C94CC9">
              <w:rPr>
                <w:sz w:val="28"/>
                <w:szCs w:val="28"/>
                <w:lang w:val="uk-UA"/>
              </w:rPr>
              <w:t>ослідження, які необхідно провести, методи і критерії, що використовуватимуться під час стратегічної екологічної оцінки</w:t>
            </w:r>
          </w:p>
        </w:tc>
        <w:tc>
          <w:tcPr>
            <w:tcW w:w="6028" w:type="dxa"/>
            <w:shd w:val="clear" w:color="auto" w:fill="auto"/>
          </w:tcPr>
          <w:p w14:paraId="6FE6AD85" w14:textId="550B4050" w:rsidR="005076CF" w:rsidRPr="00735CE9" w:rsidRDefault="009E1831" w:rsidP="005537F0">
            <w:pPr>
              <w:autoSpaceDE w:val="0"/>
              <w:autoSpaceDN w:val="0"/>
              <w:adjustRightInd w:val="0"/>
              <w:jc w:val="both"/>
              <w:rPr>
                <w:sz w:val="28"/>
                <w:szCs w:val="28"/>
                <w:lang w:val="uk-UA"/>
              </w:rPr>
            </w:pPr>
            <w:r>
              <w:rPr>
                <w:sz w:val="28"/>
                <w:szCs w:val="28"/>
                <w:lang w:val="uk-UA"/>
              </w:rPr>
              <w:t>Попередній а</w:t>
            </w:r>
            <w:r w:rsidRPr="009E1831">
              <w:rPr>
                <w:sz w:val="28"/>
                <w:szCs w:val="28"/>
                <w:lang w:val="uk-UA"/>
              </w:rPr>
              <w:t>наліз впливу на довкілля при проваджені планованої діяльності</w:t>
            </w:r>
            <w:r>
              <w:rPr>
                <w:sz w:val="28"/>
                <w:szCs w:val="28"/>
                <w:lang w:val="uk-UA"/>
              </w:rPr>
              <w:t xml:space="preserve"> </w:t>
            </w:r>
            <w:r w:rsidRPr="009E1831">
              <w:rPr>
                <w:sz w:val="28"/>
                <w:szCs w:val="28"/>
                <w:lang w:val="uk-UA"/>
              </w:rPr>
              <w:t>показав, що основний вплив планованої діяльності очікується на атмосферне повітря. Тому, оцінка зони впливу підприємства, а також оцінка ризиків розвитку неканцерогенних та канцерогенних ефектів при впливі планової реконструкції на навколишнє середовище, визначалися за фактом забруднення атмосферного повітря</w:t>
            </w:r>
            <w:r>
              <w:rPr>
                <w:sz w:val="28"/>
                <w:szCs w:val="28"/>
                <w:lang w:val="uk-UA"/>
              </w:rPr>
              <w:t>.</w:t>
            </w:r>
            <w:r w:rsidR="005537F0">
              <w:rPr>
                <w:sz w:val="28"/>
                <w:szCs w:val="28"/>
                <w:lang w:val="uk-UA"/>
              </w:rPr>
              <w:t xml:space="preserve"> </w:t>
            </w:r>
            <w:r>
              <w:rPr>
                <w:sz w:val="28"/>
                <w:szCs w:val="28"/>
                <w:lang w:val="uk-UA"/>
              </w:rPr>
              <w:t>Тому д</w:t>
            </w:r>
            <w:r w:rsidR="00C42E75">
              <w:rPr>
                <w:sz w:val="28"/>
                <w:szCs w:val="28"/>
                <w:lang w:val="uk-UA"/>
              </w:rPr>
              <w:t xml:space="preserve">ля підготовки звіту потрібно провести </w:t>
            </w:r>
            <w:r w:rsidR="005537F0">
              <w:rPr>
                <w:sz w:val="28"/>
                <w:szCs w:val="28"/>
                <w:lang w:val="uk-UA"/>
              </w:rPr>
              <w:t>розрахунки в</w:t>
            </w:r>
            <w:r w:rsidR="003A000B">
              <w:rPr>
                <w:sz w:val="28"/>
                <w:szCs w:val="28"/>
                <w:lang w:val="uk-UA"/>
              </w:rPr>
              <w:t xml:space="preserve">икидів </w:t>
            </w:r>
            <w:r w:rsidR="00D621F4">
              <w:rPr>
                <w:sz w:val="28"/>
                <w:szCs w:val="28"/>
                <w:lang w:val="uk-UA"/>
              </w:rPr>
              <w:t>забруднюючих ре</w:t>
            </w:r>
            <w:r w:rsidR="005076CF">
              <w:rPr>
                <w:sz w:val="28"/>
                <w:szCs w:val="28"/>
                <w:lang w:val="uk-UA"/>
              </w:rPr>
              <w:t>ч</w:t>
            </w:r>
            <w:r w:rsidR="00D621F4">
              <w:rPr>
                <w:sz w:val="28"/>
                <w:szCs w:val="28"/>
                <w:lang w:val="uk-UA"/>
              </w:rPr>
              <w:t>овин в атмосферу – згідно методикам, допущеним до використання в Україні.</w:t>
            </w:r>
          </w:p>
          <w:p w14:paraId="113BC41E" w14:textId="77777777" w:rsidR="00173849" w:rsidRPr="00DE240E" w:rsidRDefault="00173849" w:rsidP="00DE240E">
            <w:pPr>
              <w:autoSpaceDE w:val="0"/>
              <w:autoSpaceDN w:val="0"/>
              <w:adjustRightInd w:val="0"/>
              <w:jc w:val="both"/>
              <w:rPr>
                <w:sz w:val="28"/>
                <w:szCs w:val="28"/>
                <w:lang w:val="uk-UA"/>
              </w:rPr>
            </w:pPr>
          </w:p>
          <w:p w14:paraId="2EA35E56" w14:textId="2E83D5B7" w:rsidR="00DE240E" w:rsidRPr="00DE240E" w:rsidRDefault="00DE240E" w:rsidP="00DE240E">
            <w:pPr>
              <w:autoSpaceDE w:val="0"/>
              <w:autoSpaceDN w:val="0"/>
              <w:adjustRightInd w:val="0"/>
              <w:jc w:val="both"/>
              <w:rPr>
                <w:sz w:val="28"/>
                <w:szCs w:val="28"/>
                <w:lang w:val="uk-UA"/>
              </w:rPr>
            </w:pPr>
            <w:r w:rsidRPr="00DE240E">
              <w:rPr>
                <w:sz w:val="28"/>
                <w:szCs w:val="28"/>
                <w:lang w:val="uk-UA"/>
              </w:rPr>
              <w:t>Для підготовки звіту СЕО передбачається використовувати наступну інформацію (за її наявності):</w:t>
            </w:r>
          </w:p>
          <w:p w14:paraId="1F370FEE" w14:textId="5AA11674" w:rsidR="00DE240E" w:rsidRPr="00DE240E" w:rsidRDefault="00DE240E" w:rsidP="000B1EC8">
            <w:pPr>
              <w:numPr>
                <w:ilvl w:val="0"/>
                <w:numId w:val="5"/>
              </w:numPr>
              <w:autoSpaceDE w:val="0"/>
              <w:autoSpaceDN w:val="0"/>
              <w:adjustRightInd w:val="0"/>
              <w:jc w:val="both"/>
              <w:rPr>
                <w:sz w:val="28"/>
                <w:szCs w:val="28"/>
                <w:lang w:val="uk-UA"/>
              </w:rPr>
            </w:pPr>
            <w:r w:rsidRPr="00DE240E">
              <w:rPr>
                <w:sz w:val="28"/>
                <w:szCs w:val="28"/>
                <w:lang w:val="uk-UA"/>
              </w:rPr>
              <w:t xml:space="preserve">інформацію, яка міститься в інших законодавчих актах і має відношення до </w:t>
            </w:r>
            <w:r>
              <w:rPr>
                <w:sz w:val="28"/>
                <w:szCs w:val="28"/>
                <w:lang w:val="uk-UA"/>
              </w:rPr>
              <w:t>«Документу»</w:t>
            </w:r>
            <w:r w:rsidRPr="00DE240E">
              <w:rPr>
                <w:sz w:val="28"/>
                <w:szCs w:val="28"/>
                <w:lang w:val="uk-UA"/>
              </w:rPr>
              <w:t>;</w:t>
            </w:r>
          </w:p>
          <w:p w14:paraId="02659E4C" w14:textId="014BB1F1" w:rsidR="00DE240E" w:rsidRPr="00DE240E" w:rsidRDefault="00DE240E" w:rsidP="001D0D92">
            <w:pPr>
              <w:numPr>
                <w:ilvl w:val="0"/>
                <w:numId w:val="5"/>
              </w:numPr>
              <w:autoSpaceDE w:val="0"/>
              <w:autoSpaceDN w:val="0"/>
              <w:adjustRightInd w:val="0"/>
              <w:jc w:val="both"/>
              <w:rPr>
                <w:sz w:val="28"/>
                <w:szCs w:val="28"/>
                <w:lang w:val="uk-UA"/>
              </w:rPr>
            </w:pPr>
            <w:r w:rsidRPr="00DE240E">
              <w:rPr>
                <w:sz w:val="28"/>
                <w:szCs w:val="28"/>
                <w:lang w:val="uk-UA"/>
              </w:rPr>
              <w:t>статистичну інформацію щодо району планованої діяльності;</w:t>
            </w:r>
          </w:p>
          <w:p w14:paraId="4CC9A7C6" w14:textId="6B435192" w:rsidR="00DE240E" w:rsidRPr="00DE240E" w:rsidRDefault="00DE240E" w:rsidP="003336C9">
            <w:pPr>
              <w:numPr>
                <w:ilvl w:val="0"/>
                <w:numId w:val="5"/>
              </w:numPr>
              <w:autoSpaceDE w:val="0"/>
              <w:autoSpaceDN w:val="0"/>
              <w:adjustRightInd w:val="0"/>
              <w:jc w:val="both"/>
              <w:rPr>
                <w:sz w:val="28"/>
                <w:szCs w:val="28"/>
                <w:lang w:val="uk-UA"/>
              </w:rPr>
            </w:pPr>
            <w:r w:rsidRPr="00DE240E">
              <w:rPr>
                <w:sz w:val="28"/>
                <w:szCs w:val="28"/>
                <w:lang w:val="uk-UA"/>
              </w:rPr>
              <w:t>дані моніторингу існуючого стану довкілля (кліматичні, метеорологічні, гідрологічні спостереження, дані про фонове забруднення та ін.);</w:t>
            </w:r>
          </w:p>
          <w:p w14:paraId="0D7B216C" w14:textId="3C226C93" w:rsidR="00DE240E" w:rsidRPr="00DE240E" w:rsidRDefault="00DE240E" w:rsidP="004B6EA0">
            <w:pPr>
              <w:numPr>
                <w:ilvl w:val="0"/>
                <w:numId w:val="5"/>
              </w:numPr>
              <w:autoSpaceDE w:val="0"/>
              <w:autoSpaceDN w:val="0"/>
              <w:adjustRightInd w:val="0"/>
              <w:jc w:val="both"/>
              <w:rPr>
                <w:sz w:val="28"/>
                <w:szCs w:val="28"/>
                <w:lang w:val="uk-UA"/>
              </w:rPr>
            </w:pPr>
            <w:r w:rsidRPr="00DE240E">
              <w:rPr>
                <w:sz w:val="28"/>
                <w:szCs w:val="28"/>
                <w:lang w:val="uk-UA"/>
              </w:rPr>
              <w:t xml:space="preserve">дані топографічних та геологічних </w:t>
            </w:r>
            <w:proofErr w:type="spellStart"/>
            <w:r w:rsidRPr="00DE240E">
              <w:rPr>
                <w:sz w:val="28"/>
                <w:szCs w:val="28"/>
                <w:lang w:val="uk-UA"/>
              </w:rPr>
              <w:t>вишукувань</w:t>
            </w:r>
            <w:proofErr w:type="spellEnd"/>
            <w:r w:rsidRPr="00DE240E">
              <w:rPr>
                <w:sz w:val="28"/>
                <w:szCs w:val="28"/>
                <w:lang w:val="uk-UA"/>
              </w:rPr>
              <w:t>;</w:t>
            </w:r>
          </w:p>
          <w:p w14:paraId="5B221071" w14:textId="2F0F88CE" w:rsidR="00DE240E" w:rsidRPr="00DE240E" w:rsidRDefault="00DE240E" w:rsidP="002A5F95">
            <w:pPr>
              <w:numPr>
                <w:ilvl w:val="0"/>
                <w:numId w:val="5"/>
              </w:numPr>
              <w:autoSpaceDE w:val="0"/>
              <w:autoSpaceDN w:val="0"/>
              <w:adjustRightInd w:val="0"/>
              <w:jc w:val="both"/>
              <w:rPr>
                <w:sz w:val="28"/>
                <w:szCs w:val="28"/>
                <w:lang w:val="uk-UA"/>
              </w:rPr>
            </w:pPr>
            <w:r w:rsidRPr="00DE240E">
              <w:rPr>
                <w:sz w:val="28"/>
                <w:szCs w:val="28"/>
                <w:lang w:val="uk-UA"/>
              </w:rPr>
              <w:t>діючі методики розрахунку викидів забруднюючих речовин від планованих джерел викиду;</w:t>
            </w:r>
          </w:p>
          <w:p w14:paraId="0683DA61" w14:textId="4EBBB231" w:rsidR="00DE240E" w:rsidRPr="00DE240E" w:rsidRDefault="00DE240E" w:rsidP="00927637">
            <w:pPr>
              <w:numPr>
                <w:ilvl w:val="0"/>
                <w:numId w:val="5"/>
              </w:numPr>
              <w:autoSpaceDE w:val="0"/>
              <w:autoSpaceDN w:val="0"/>
              <w:adjustRightInd w:val="0"/>
              <w:jc w:val="both"/>
              <w:rPr>
                <w:sz w:val="28"/>
                <w:szCs w:val="28"/>
                <w:lang w:val="uk-UA"/>
              </w:rPr>
            </w:pPr>
            <w:r w:rsidRPr="00DE240E">
              <w:rPr>
                <w:sz w:val="28"/>
                <w:szCs w:val="28"/>
                <w:lang w:val="uk-UA"/>
              </w:rPr>
              <w:t xml:space="preserve">комп’ютерні програмні комплекси для розрахунку розсіювання забруднюючих </w:t>
            </w:r>
            <w:r w:rsidRPr="00DE240E">
              <w:rPr>
                <w:sz w:val="28"/>
                <w:szCs w:val="28"/>
                <w:lang w:val="uk-UA"/>
              </w:rPr>
              <w:lastRenderedPageBreak/>
              <w:t>речовин в приземному шарі атмосферного повітря;</w:t>
            </w:r>
          </w:p>
          <w:p w14:paraId="1C16A104" w14:textId="331B8085" w:rsidR="00DE240E" w:rsidRPr="00DE240E" w:rsidRDefault="00DE240E" w:rsidP="00707AE9">
            <w:pPr>
              <w:numPr>
                <w:ilvl w:val="0"/>
                <w:numId w:val="5"/>
              </w:numPr>
              <w:autoSpaceDE w:val="0"/>
              <w:autoSpaceDN w:val="0"/>
              <w:adjustRightInd w:val="0"/>
              <w:jc w:val="both"/>
              <w:rPr>
                <w:sz w:val="28"/>
                <w:szCs w:val="28"/>
                <w:lang w:val="uk-UA"/>
              </w:rPr>
            </w:pPr>
            <w:r w:rsidRPr="00DE240E">
              <w:rPr>
                <w:sz w:val="28"/>
                <w:szCs w:val="28"/>
                <w:lang w:val="uk-UA"/>
              </w:rPr>
              <w:t>статистику захворюваності місцевих жителів;</w:t>
            </w:r>
          </w:p>
          <w:p w14:paraId="6FE310C5" w14:textId="7FA68946" w:rsidR="009E1831" w:rsidRPr="005537F0" w:rsidRDefault="00DE240E" w:rsidP="009F12E8">
            <w:pPr>
              <w:widowControl w:val="0"/>
              <w:numPr>
                <w:ilvl w:val="0"/>
                <w:numId w:val="5"/>
              </w:numPr>
              <w:shd w:val="clear" w:color="auto" w:fill="FFFFFF"/>
              <w:autoSpaceDE w:val="0"/>
              <w:autoSpaceDN w:val="0"/>
              <w:adjustRightInd w:val="0"/>
              <w:ind w:right="24"/>
              <w:jc w:val="both"/>
              <w:rPr>
                <w:sz w:val="28"/>
                <w:szCs w:val="28"/>
                <w:lang w:val="uk-UA"/>
              </w:rPr>
            </w:pPr>
            <w:r w:rsidRPr="005537F0">
              <w:rPr>
                <w:sz w:val="28"/>
                <w:szCs w:val="28"/>
                <w:lang w:val="uk-UA"/>
              </w:rPr>
              <w:t>іншу доступну інформацію.</w:t>
            </w:r>
          </w:p>
          <w:p w14:paraId="43EDC327" w14:textId="43214F11" w:rsidR="009E1831" w:rsidRPr="00DE240E" w:rsidRDefault="009E1831" w:rsidP="009E1831">
            <w:pPr>
              <w:autoSpaceDE w:val="0"/>
              <w:autoSpaceDN w:val="0"/>
              <w:adjustRightInd w:val="0"/>
              <w:jc w:val="both"/>
              <w:rPr>
                <w:sz w:val="28"/>
                <w:szCs w:val="28"/>
                <w:lang w:val="uk-UA"/>
              </w:rPr>
            </w:pPr>
            <w:r w:rsidRPr="00DE240E">
              <w:rPr>
                <w:sz w:val="28"/>
                <w:szCs w:val="28"/>
                <w:lang w:val="uk-UA"/>
              </w:rPr>
              <w:t>Для здійснення стратегічної екологічної оцінки будуть використовуватись логічні і формалізовані методи прогнозування. Всі припущення, які будуть зроблені в разі, коли бракує конкретних показників, носять консервативний характер (для врахування найгіршого з імовірних варіантів впливу).</w:t>
            </w:r>
          </w:p>
          <w:p w14:paraId="26D28131" w14:textId="76105DD4" w:rsidR="009E1831" w:rsidRPr="00C94CC9" w:rsidRDefault="009E1831" w:rsidP="009E1831">
            <w:pPr>
              <w:widowControl w:val="0"/>
              <w:shd w:val="clear" w:color="auto" w:fill="FFFFFF"/>
              <w:autoSpaceDE w:val="0"/>
              <w:autoSpaceDN w:val="0"/>
              <w:adjustRightInd w:val="0"/>
              <w:ind w:right="24"/>
              <w:jc w:val="both"/>
              <w:rPr>
                <w:rFonts w:ascii="Arial" w:hAnsi="Arial" w:cs="Arial"/>
                <w:b/>
                <w:bCs/>
                <w:color w:val="000000"/>
              </w:rPr>
            </w:pPr>
          </w:p>
        </w:tc>
      </w:tr>
      <w:tr w:rsidR="002C5A2F" w:rsidRPr="00C94CC9" w14:paraId="32A62246" w14:textId="77777777" w:rsidTr="00E5610D">
        <w:tc>
          <w:tcPr>
            <w:tcW w:w="647" w:type="dxa"/>
            <w:shd w:val="clear" w:color="auto" w:fill="auto"/>
          </w:tcPr>
          <w:p w14:paraId="0F6BB31F" w14:textId="77777777" w:rsidR="002C5A2F" w:rsidRPr="00C94CC9" w:rsidRDefault="002C5A2F" w:rsidP="00C94CC9">
            <w:pPr>
              <w:numPr>
                <w:ilvl w:val="0"/>
                <w:numId w:val="1"/>
              </w:numPr>
              <w:jc w:val="center"/>
              <w:rPr>
                <w:sz w:val="28"/>
                <w:szCs w:val="28"/>
                <w:lang w:val="uk-UA"/>
              </w:rPr>
            </w:pPr>
          </w:p>
        </w:tc>
        <w:tc>
          <w:tcPr>
            <w:tcW w:w="3072" w:type="dxa"/>
            <w:shd w:val="clear" w:color="auto" w:fill="auto"/>
          </w:tcPr>
          <w:p w14:paraId="31C36F06" w14:textId="77777777" w:rsidR="002C5A2F" w:rsidRPr="00C94CC9" w:rsidRDefault="00010C90" w:rsidP="002C5A2F">
            <w:pPr>
              <w:rPr>
                <w:sz w:val="28"/>
                <w:szCs w:val="28"/>
                <w:lang w:val="uk-UA"/>
              </w:rPr>
            </w:pPr>
            <w:r w:rsidRPr="00C94CC9">
              <w:rPr>
                <w:sz w:val="28"/>
                <w:szCs w:val="28"/>
                <w:lang w:val="uk-UA"/>
              </w:rPr>
              <w:t>З</w:t>
            </w:r>
            <w:r w:rsidR="002C5A2F" w:rsidRPr="00C94CC9">
              <w:rPr>
                <w:sz w:val="28"/>
                <w:szCs w:val="28"/>
                <w:lang w:val="uk-UA"/>
              </w:rPr>
              <w:t>аходи, які передбачається розглянути для запобігання, зменшення та пом’якшення негативних наслідків виконання документа державного планування</w:t>
            </w:r>
          </w:p>
        </w:tc>
        <w:tc>
          <w:tcPr>
            <w:tcW w:w="6028" w:type="dxa"/>
            <w:shd w:val="clear" w:color="auto" w:fill="auto"/>
          </w:tcPr>
          <w:p w14:paraId="466FDA16"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Ресурсозберігаючі заходи:</w:t>
            </w:r>
          </w:p>
          <w:p w14:paraId="4C0E69D0"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w:t>
            </w:r>
            <w:r w:rsidRPr="00B54610">
              <w:rPr>
                <w:sz w:val="28"/>
                <w:szCs w:val="28"/>
                <w:lang w:val="uk-UA"/>
              </w:rPr>
              <w:tab/>
              <w:t>мінімальне вилучення земель під розробку родовища;</w:t>
            </w:r>
          </w:p>
          <w:p w14:paraId="5FFE3903"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w:t>
            </w:r>
            <w:r w:rsidRPr="00B54610">
              <w:rPr>
                <w:sz w:val="28"/>
                <w:szCs w:val="28"/>
                <w:lang w:val="uk-UA"/>
              </w:rPr>
              <w:tab/>
              <w:t>часткове використання розкривних порід для підняття під’їзних доріг до кар’єру.</w:t>
            </w:r>
          </w:p>
          <w:p w14:paraId="36DE09DF"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Захисні заходи:</w:t>
            </w:r>
          </w:p>
          <w:p w14:paraId="7F2D8B6C"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w:t>
            </w:r>
            <w:r w:rsidRPr="00B54610">
              <w:rPr>
                <w:sz w:val="28"/>
                <w:szCs w:val="28"/>
                <w:lang w:val="uk-UA"/>
              </w:rPr>
              <w:tab/>
              <w:t>скорочення валових обсягів викидів забруднюючих речовин, полив під’їзних і кар’єрних доріг;</w:t>
            </w:r>
          </w:p>
          <w:p w14:paraId="114A9F28"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w:t>
            </w:r>
            <w:r w:rsidRPr="00B54610">
              <w:rPr>
                <w:sz w:val="28"/>
                <w:szCs w:val="28"/>
                <w:lang w:val="uk-UA"/>
              </w:rPr>
              <w:tab/>
              <w:t>організаційно-технічні заходи по зменшенню викидів забруднюючих речовин при настанні несприятливих метеорологічних умов, виходячи з трьох режимів забруднення атмосфери;</w:t>
            </w:r>
          </w:p>
          <w:p w14:paraId="76C86AD0"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w:t>
            </w:r>
            <w:r w:rsidRPr="00B54610">
              <w:rPr>
                <w:sz w:val="28"/>
                <w:szCs w:val="28"/>
                <w:lang w:val="uk-UA"/>
              </w:rPr>
              <w:tab/>
              <w:t>планувальні заходи щодо впорядкування санітарно-захисної зони, озелененні прилеглих до родовища територій.</w:t>
            </w:r>
          </w:p>
          <w:p w14:paraId="01B6B0FE"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Відновлювальні заходи:</w:t>
            </w:r>
          </w:p>
          <w:p w14:paraId="58B0A476"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 xml:space="preserve">- селективне зняття та зберігання </w:t>
            </w:r>
            <w:proofErr w:type="spellStart"/>
            <w:r w:rsidRPr="00B54610">
              <w:rPr>
                <w:sz w:val="28"/>
                <w:szCs w:val="28"/>
                <w:lang w:val="uk-UA"/>
              </w:rPr>
              <w:t>грунтово</w:t>
            </w:r>
            <w:proofErr w:type="spellEnd"/>
            <w:r w:rsidRPr="00B54610">
              <w:rPr>
                <w:sz w:val="28"/>
                <w:szCs w:val="28"/>
                <w:lang w:val="uk-UA"/>
              </w:rPr>
              <w:t>-рослинного шару ґрунту і подальше використання його при частковій рекультивації земель;</w:t>
            </w:r>
          </w:p>
          <w:p w14:paraId="0BA238CF"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w:t>
            </w:r>
            <w:r w:rsidRPr="00B54610">
              <w:rPr>
                <w:sz w:val="28"/>
                <w:szCs w:val="28"/>
                <w:lang w:val="uk-UA"/>
              </w:rPr>
              <w:tab/>
              <w:t>проведення гірничотехнічної рекультивації земель.</w:t>
            </w:r>
          </w:p>
          <w:p w14:paraId="696A23EE"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 xml:space="preserve"> Компенсаційні заходи:</w:t>
            </w:r>
          </w:p>
          <w:p w14:paraId="27F14D49" w14:textId="77777777" w:rsidR="00867170" w:rsidRPr="00B54610" w:rsidRDefault="00867170" w:rsidP="00867170">
            <w:pPr>
              <w:autoSpaceDE w:val="0"/>
              <w:autoSpaceDN w:val="0"/>
              <w:adjustRightInd w:val="0"/>
              <w:ind w:left="392" w:hanging="392"/>
              <w:jc w:val="both"/>
              <w:rPr>
                <w:sz w:val="28"/>
                <w:szCs w:val="28"/>
                <w:lang w:val="uk-UA"/>
              </w:rPr>
            </w:pPr>
            <w:r w:rsidRPr="00B54610">
              <w:rPr>
                <w:sz w:val="28"/>
                <w:szCs w:val="28"/>
                <w:lang w:val="uk-UA"/>
              </w:rPr>
              <w:t>-</w:t>
            </w:r>
            <w:r>
              <w:rPr>
                <w:sz w:val="28"/>
                <w:szCs w:val="28"/>
                <w:lang w:val="uk-UA"/>
              </w:rPr>
              <w:tab/>
            </w:r>
            <w:r w:rsidRPr="00B54610">
              <w:rPr>
                <w:sz w:val="28"/>
                <w:szCs w:val="28"/>
                <w:lang w:val="uk-UA"/>
              </w:rPr>
              <w:t>компенсація втрат земель ;</w:t>
            </w:r>
          </w:p>
          <w:p w14:paraId="5760ABA8" w14:textId="6CDE997B" w:rsidR="00D918EA" w:rsidRPr="001A6D7B" w:rsidRDefault="00867170" w:rsidP="00867170">
            <w:pPr>
              <w:ind w:left="392" w:hanging="392"/>
              <w:jc w:val="both"/>
              <w:rPr>
                <w:sz w:val="28"/>
                <w:szCs w:val="28"/>
                <w:lang w:val="uk-UA"/>
              </w:rPr>
            </w:pPr>
            <w:r>
              <w:rPr>
                <w:sz w:val="28"/>
                <w:szCs w:val="28"/>
                <w:lang w:val="uk-UA"/>
              </w:rPr>
              <w:t>-</w:t>
            </w:r>
            <w:r>
              <w:rPr>
                <w:sz w:val="28"/>
                <w:szCs w:val="28"/>
                <w:lang w:val="uk-UA"/>
              </w:rPr>
              <w:tab/>
            </w:r>
            <w:r w:rsidRPr="00B54610">
              <w:rPr>
                <w:sz w:val="28"/>
                <w:szCs w:val="28"/>
                <w:lang w:val="uk-UA"/>
              </w:rPr>
              <w:t>сплата екологічного податку за викиди джерелами забруднюючих речовин в атмосферне повітря, за розміщення відходів, а також за скиди забруднюючих речовин у</w:t>
            </w:r>
          </w:p>
        </w:tc>
      </w:tr>
      <w:tr w:rsidR="002C5A2F" w:rsidRPr="00673F20" w14:paraId="286D910C" w14:textId="77777777" w:rsidTr="00E5610D">
        <w:tc>
          <w:tcPr>
            <w:tcW w:w="647" w:type="dxa"/>
            <w:shd w:val="clear" w:color="auto" w:fill="auto"/>
          </w:tcPr>
          <w:p w14:paraId="2A7DB3E5" w14:textId="77777777" w:rsidR="002C5A2F" w:rsidRPr="00C94CC9" w:rsidRDefault="002C5A2F" w:rsidP="00C94CC9">
            <w:pPr>
              <w:numPr>
                <w:ilvl w:val="0"/>
                <w:numId w:val="1"/>
              </w:numPr>
              <w:jc w:val="center"/>
              <w:rPr>
                <w:sz w:val="28"/>
                <w:szCs w:val="28"/>
                <w:lang w:val="uk-UA"/>
              </w:rPr>
            </w:pPr>
          </w:p>
        </w:tc>
        <w:tc>
          <w:tcPr>
            <w:tcW w:w="3072" w:type="dxa"/>
            <w:shd w:val="clear" w:color="auto" w:fill="auto"/>
          </w:tcPr>
          <w:p w14:paraId="336B1137" w14:textId="77777777" w:rsidR="002C5A2F" w:rsidRPr="00C94CC9" w:rsidRDefault="00010C90" w:rsidP="002C5A2F">
            <w:pPr>
              <w:rPr>
                <w:sz w:val="28"/>
                <w:szCs w:val="28"/>
                <w:lang w:val="uk-UA"/>
              </w:rPr>
            </w:pPr>
            <w:r w:rsidRPr="00C94CC9">
              <w:rPr>
                <w:sz w:val="28"/>
                <w:szCs w:val="28"/>
                <w:lang w:val="uk-UA"/>
              </w:rPr>
              <w:t>П</w:t>
            </w:r>
            <w:r w:rsidR="002C5A2F" w:rsidRPr="00C94CC9">
              <w:rPr>
                <w:sz w:val="28"/>
                <w:szCs w:val="28"/>
                <w:lang w:val="uk-UA"/>
              </w:rPr>
              <w:t>ропозиції щодо структури та змісту звіту про стратегічну екологічну оцінку</w:t>
            </w:r>
          </w:p>
        </w:tc>
        <w:tc>
          <w:tcPr>
            <w:tcW w:w="6028" w:type="dxa"/>
            <w:shd w:val="clear" w:color="auto" w:fill="auto"/>
          </w:tcPr>
          <w:p w14:paraId="2D802739" w14:textId="77777777" w:rsidR="002C5A2F" w:rsidRPr="00C94CC9" w:rsidRDefault="00010C90" w:rsidP="002C5A2F">
            <w:pPr>
              <w:rPr>
                <w:sz w:val="28"/>
                <w:szCs w:val="28"/>
                <w:lang w:val="uk-UA"/>
              </w:rPr>
            </w:pPr>
            <w:r w:rsidRPr="00C94CC9">
              <w:rPr>
                <w:sz w:val="28"/>
                <w:szCs w:val="28"/>
                <w:lang w:val="uk-UA"/>
              </w:rPr>
              <w:t>Відповідно до статті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tc>
      </w:tr>
      <w:tr w:rsidR="002C5A2F" w:rsidRPr="00C94CC9" w14:paraId="0559E3BF" w14:textId="77777777" w:rsidTr="00E5610D">
        <w:tc>
          <w:tcPr>
            <w:tcW w:w="647" w:type="dxa"/>
            <w:shd w:val="clear" w:color="auto" w:fill="auto"/>
          </w:tcPr>
          <w:p w14:paraId="0E623CF3" w14:textId="77777777" w:rsidR="002C5A2F" w:rsidRPr="00C94CC9" w:rsidRDefault="002C5A2F" w:rsidP="00C94CC9">
            <w:pPr>
              <w:numPr>
                <w:ilvl w:val="0"/>
                <w:numId w:val="1"/>
              </w:numPr>
              <w:jc w:val="center"/>
              <w:rPr>
                <w:sz w:val="28"/>
                <w:szCs w:val="28"/>
                <w:lang w:val="uk-UA"/>
              </w:rPr>
            </w:pPr>
          </w:p>
        </w:tc>
        <w:tc>
          <w:tcPr>
            <w:tcW w:w="3072" w:type="dxa"/>
            <w:shd w:val="clear" w:color="auto" w:fill="auto"/>
          </w:tcPr>
          <w:p w14:paraId="69C8E39B" w14:textId="77777777" w:rsidR="002C5A2F" w:rsidRPr="00C94CC9" w:rsidRDefault="00010C90" w:rsidP="002C5A2F">
            <w:pPr>
              <w:rPr>
                <w:sz w:val="28"/>
                <w:szCs w:val="28"/>
                <w:lang w:val="uk-UA"/>
              </w:rPr>
            </w:pPr>
            <w:r w:rsidRPr="00C94CC9">
              <w:rPr>
                <w:sz w:val="28"/>
                <w:szCs w:val="28"/>
                <w:lang w:val="uk-UA"/>
              </w:rPr>
              <w:t>О</w:t>
            </w:r>
            <w:r w:rsidR="002C5A2F" w:rsidRPr="00C94CC9">
              <w:rPr>
                <w:sz w:val="28"/>
                <w:szCs w:val="28"/>
                <w:lang w:val="uk-UA"/>
              </w:rPr>
              <w:t>рган, до якого подаються зауваження і пропозиції, та строки їх подання</w:t>
            </w:r>
          </w:p>
        </w:tc>
        <w:tc>
          <w:tcPr>
            <w:tcW w:w="6028" w:type="dxa"/>
            <w:shd w:val="clear" w:color="auto" w:fill="auto"/>
          </w:tcPr>
          <w:p w14:paraId="1298A761" w14:textId="4326C988" w:rsidR="002C5A2F" w:rsidRPr="00C94CC9" w:rsidRDefault="00F126D2" w:rsidP="002F0E6F">
            <w:pPr>
              <w:rPr>
                <w:sz w:val="28"/>
                <w:szCs w:val="28"/>
                <w:lang w:val="uk-UA"/>
              </w:rPr>
            </w:pPr>
            <w:bookmarkStart w:id="1" w:name="6__Органи__зазначені_у_статтях_6_та_7_ць"/>
            <w:bookmarkEnd w:id="1"/>
            <w:r w:rsidRPr="00F126D2">
              <w:rPr>
                <w:sz w:val="28"/>
                <w:szCs w:val="28"/>
                <w:lang w:val="uk-UA"/>
              </w:rPr>
              <w:t xml:space="preserve">Зауваження і пропозиції до заяви про визначення обсягу стратегічної екологічної оцінки надаються у письмовій формі до </w:t>
            </w:r>
            <w:proofErr w:type="spellStart"/>
            <w:r w:rsidR="000A3CC4">
              <w:rPr>
                <w:sz w:val="28"/>
                <w:szCs w:val="28"/>
                <w:lang w:val="uk-UA"/>
              </w:rPr>
              <w:t>Кам’янської</w:t>
            </w:r>
            <w:proofErr w:type="spellEnd"/>
            <w:r w:rsidR="000A3CC4">
              <w:rPr>
                <w:sz w:val="28"/>
                <w:szCs w:val="28"/>
                <w:lang w:val="uk-UA"/>
              </w:rPr>
              <w:t xml:space="preserve"> сільської </w:t>
            </w:r>
            <w:r w:rsidRPr="00F126D2">
              <w:rPr>
                <w:sz w:val="28"/>
                <w:szCs w:val="28"/>
                <w:lang w:val="uk-UA"/>
              </w:rPr>
              <w:t xml:space="preserve">ради, </w:t>
            </w:r>
            <w:r w:rsidR="002F0E6F" w:rsidRPr="002F0E6F">
              <w:rPr>
                <w:sz w:val="28"/>
                <w:szCs w:val="28"/>
                <w:lang w:val="uk-UA"/>
              </w:rPr>
              <w:t>90125</w:t>
            </w:r>
            <w:r w:rsidR="008D0E6C">
              <w:rPr>
                <w:sz w:val="28"/>
                <w:szCs w:val="28"/>
                <w:lang w:val="uk-UA"/>
              </w:rPr>
              <w:t>,</w:t>
            </w:r>
            <w:r w:rsidR="002F0E6F" w:rsidRPr="002F0E6F">
              <w:rPr>
                <w:sz w:val="28"/>
                <w:szCs w:val="28"/>
                <w:lang w:val="uk-UA"/>
              </w:rPr>
              <w:t xml:space="preserve"> Закарпатська область, Берегівський район,</w:t>
            </w:r>
            <w:r w:rsidR="002F0E6F">
              <w:rPr>
                <w:sz w:val="28"/>
                <w:szCs w:val="28"/>
                <w:lang w:val="uk-UA"/>
              </w:rPr>
              <w:t xml:space="preserve"> </w:t>
            </w:r>
            <w:r w:rsidR="002F0E6F" w:rsidRPr="002F0E6F">
              <w:rPr>
                <w:sz w:val="28"/>
                <w:szCs w:val="28"/>
                <w:lang w:val="uk-UA"/>
              </w:rPr>
              <w:t xml:space="preserve">с. </w:t>
            </w:r>
            <w:proofErr w:type="spellStart"/>
            <w:r w:rsidR="002F0E6F" w:rsidRPr="002F0E6F">
              <w:rPr>
                <w:sz w:val="28"/>
                <w:szCs w:val="28"/>
                <w:lang w:val="uk-UA"/>
              </w:rPr>
              <w:t>Камʼянське</w:t>
            </w:r>
            <w:proofErr w:type="spellEnd"/>
            <w:r w:rsidR="002F0E6F" w:rsidRPr="002F0E6F">
              <w:rPr>
                <w:sz w:val="28"/>
                <w:szCs w:val="28"/>
                <w:lang w:val="uk-UA"/>
              </w:rPr>
              <w:t>, вул.</w:t>
            </w:r>
            <w:r w:rsidR="008D0E6C">
              <w:rPr>
                <w:sz w:val="28"/>
                <w:szCs w:val="28"/>
                <w:lang w:val="uk-UA"/>
              </w:rPr>
              <w:t> </w:t>
            </w:r>
            <w:r w:rsidR="002F0E6F" w:rsidRPr="002F0E6F">
              <w:rPr>
                <w:sz w:val="28"/>
                <w:szCs w:val="28"/>
                <w:lang w:val="uk-UA"/>
              </w:rPr>
              <w:t>Українська, буд 1</w:t>
            </w:r>
            <w:r w:rsidR="008D0E6C">
              <w:rPr>
                <w:sz w:val="28"/>
                <w:szCs w:val="28"/>
                <w:lang w:val="uk-UA"/>
              </w:rPr>
              <w:t>, в термін,</w:t>
            </w:r>
            <w:r w:rsidRPr="00F126D2">
              <w:rPr>
                <w:sz w:val="28"/>
                <w:szCs w:val="28"/>
                <w:lang w:val="uk-UA"/>
              </w:rPr>
              <w:t xml:space="preserve"> що не перевищує 15 днів з дня отримання цієї заяви.</w:t>
            </w:r>
          </w:p>
        </w:tc>
      </w:tr>
    </w:tbl>
    <w:p w14:paraId="6482D001" w14:textId="44A9CC34" w:rsidR="00CF2B30" w:rsidRPr="001D3F21" w:rsidRDefault="00461973" w:rsidP="00461973">
      <w:pPr>
        <w:tabs>
          <w:tab w:val="left" w:pos="7230"/>
        </w:tabs>
        <w:spacing w:before="960"/>
        <w:rPr>
          <w:sz w:val="28"/>
          <w:szCs w:val="28"/>
          <w:lang w:val="uk-UA"/>
        </w:rPr>
      </w:pPr>
      <w:r>
        <w:rPr>
          <w:sz w:val="28"/>
          <w:szCs w:val="28"/>
          <w:lang w:val="uk-UA"/>
        </w:rPr>
        <w:t>Сільський голова</w:t>
      </w:r>
      <w:r w:rsidR="00D55832" w:rsidRPr="00D55832">
        <w:rPr>
          <w:sz w:val="28"/>
          <w:szCs w:val="28"/>
          <w:lang w:val="uk-UA"/>
        </w:rPr>
        <w:tab/>
      </w:r>
      <w:r>
        <w:rPr>
          <w:sz w:val="28"/>
          <w:szCs w:val="28"/>
          <w:lang w:val="uk-UA"/>
        </w:rPr>
        <w:t>М. М. </w:t>
      </w:r>
      <w:proofErr w:type="spellStart"/>
      <w:r>
        <w:rPr>
          <w:sz w:val="28"/>
          <w:szCs w:val="28"/>
          <w:lang w:val="uk-UA"/>
        </w:rPr>
        <w:t>Станинець</w:t>
      </w:r>
      <w:proofErr w:type="spellEnd"/>
    </w:p>
    <w:sectPr w:rsidR="00CF2B30" w:rsidRPr="001D3F2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7E5D" w14:textId="77777777" w:rsidR="00F025C2" w:rsidRDefault="00F025C2" w:rsidP="00CF2B30">
      <w:r>
        <w:separator/>
      </w:r>
    </w:p>
  </w:endnote>
  <w:endnote w:type="continuationSeparator" w:id="0">
    <w:p w14:paraId="1717F39F" w14:textId="77777777" w:rsidR="00F025C2" w:rsidRDefault="00F025C2" w:rsidP="00CF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F37F" w14:textId="77777777" w:rsidR="00CF2B30" w:rsidRDefault="00CF2B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9B5" w14:textId="77777777" w:rsidR="00CF2B30" w:rsidRDefault="00CF2B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59A1" w14:textId="77777777" w:rsidR="00CF2B30" w:rsidRDefault="00CF2B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1158" w14:textId="77777777" w:rsidR="00F025C2" w:rsidRDefault="00F025C2" w:rsidP="00CF2B30">
      <w:r>
        <w:separator/>
      </w:r>
    </w:p>
  </w:footnote>
  <w:footnote w:type="continuationSeparator" w:id="0">
    <w:p w14:paraId="5A090F4F" w14:textId="77777777" w:rsidR="00F025C2" w:rsidRDefault="00F025C2" w:rsidP="00CF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0676" w14:textId="77777777" w:rsidR="00CF2B30" w:rsidRDefault="00CF2B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AAD" w14:textId="77777777" w:rsidR="00CF2B30" w:rsidRDefault="00CF2B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4117" w14:textId="77777777" w:rsidR="00CF2B30" w:rsidRDefault="00CF2B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80F7C0"/>
    <w:lvl w:ilvl="0">
      <w:numFmt w:val="bullet"/>
      <w:lvlText w:val="*"/>
      <w:lvlJc w:val="left"/>
    </w:lvl>
  </w:abstractNum>
  <w:abstractNum w:abstractNumId="1" w15:restartNumberingAfterBreak="0">
    <w:nsid w:val="12AA32F9"/>
    <w:multiLevelType w:val="hybridMultilevel"/>
    <w:tmpl w:val="83C8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4974D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2C85500"/>
    <w:multiLevelType w:val="multilevel"/>
    <w:tmpl w:val="4BD46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48439B"/>
    <w:multiLevelType w:val="hybridMultilevel"/>
    <w:tmpl w:val="B792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6238FA"/>
    <w:multiLevelType w:val="hybridMultilevel"/>
    <w:tmpl w:val="35C0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AF1C95"/>
    <w:multiLevelType w:val="hybridMultilevel"/>
    <w:tmpl w:val="53E0101A"/>
    <w:lvl w:ilvl="0" w:tplc="B824DAB2">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lvlOverride w:ilvl="0">
      <w:lvl w:ilvl="0">
        <w:start w:val="65535"/>
        <w:numFmt w:val="bullet"/>
        <w:lvlText w:val="-"/>
        <w:legacy w:legacy="1" w:legacySpace="0" w:legacyIndent="187"/>
        <w:lvlJc w:val="left"/>
        <w:rPr>
          <w:rFonts w:ascii="Arial" w:hAnsi="Arial" w:cs="Arial" w:hint="default"/>
        </w:rPr>
      </w:lvl>
    </w:lvlOverride>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2F"/>
    <w:rsid w:val="00010C90"/>
    <w:rsid w:val="00012333"/>
    <w:rsid w:val="00013E8F"/>
    <w:rsid w:val="000214A4"/>
    <w:rsid w:val="00025486"/>
    <w:rsid w:val="00051B52"/>
    <w:rsid w:val="000652A4"/>
    <w:rsid w:val="00070B57"/>
    <w:rsid w:val="00076B40"/>
    <w:rsid w:val="0008108A"/>
    <w:rsid w:val="00091450"/>
    <w:rsid w:val="00096877"/>
    <w:rsid w:val="000A3CC4"/>
    <w:rsid w:val="000A67B2"/>
    <w:rsid w:val="000B020A"/>
    <w:rsid w:val="000B4F3B"/>
    <w:rsid w:val="000B7FAB"/>
    <w:rsid w:val="000C4825"/>
    <w:rsid w:val="000D68DC"/>
    <w:rsid w:val="001328CF"/>
    <w:rsid w:val="00137D68"/>
    <w:rsid w:val="0014646F"/>
    <w:rsid w:val="00151B62"/>
    <w:rsid w:val="001529ED"/>
    <w:rsid w:val="001556E0"/>
    <w:rsid w:val="00173849"/>
    <w:rsid w:val="00174E7D"/>
    <w:rsid w:val="00181024"/>
    <w:rsid w:val="00184B1B"/>
    <w:rsid w:val="001A0A9C"/>
    <w:rsid w:val="001A6D7B"/>
    <w:rsid w:val="001C67F7"/>
    <w:rsid w:val="001D1FD1"/>
    <w:rsid w:val="001D3F21"/>
    <w:rsid w:val="001E22C7"/>
    <w:rsid w:val="001F1440"/>
    <w:rsid w:val="001F3DC0"/>
    <w:rsid w:val="001F7C06"/>
    <w:rsid w:val="002321E4"/>
    <w:rsid w:val="00234F4E"/>
    <w:rsid w:val="00236D6A"/>
    <w:rsid w:val="002417C5"/>
    <w:rsid w:val="0025528A"/>
    <w:rsid w:val="00270D56"/>
    <w:rsid w:val="00285816"/>
    <w:rsid w:val="0029121F"/>
    <w:rsid w:val="00294659"/>
    <w:rsid w:val="002B23AF"/>
    <w:rsid w:val="002B3212"/>
    <w:rsid w:val="002B560C"/>
    <w:rsid w:val="002C5A2F"/>
    <w:rsid w:val="002F0E6F"/>
    <w:rsid w:val="002F43F0"/>
    <w:rsid w:val="00311020"/>
    <w:rsid w:val="00316B95"/>
    <w:rsid w:val="00320A85"/>
    <w:rsid w:val="00322DBE"/>
    <w:rsid w:val="00343CCE"/>
    <w:rsid w:val="003526FE"/>
    <w:rsid w:val="003561D6"/>
    <w:rsid w:val="003660BC"/>
    <w:rsid w:val="00372871"/>
    <w:rsid w:val="003A000B"/>
    <w:rsid w:val="003C199B"/>
    <w:rsid w:val="003C3971"/>
    <w:rsid w:val="003D5FFF"/>
    <w:rsid w:val="003E1FFD"/>
    <w:rsid w:val="003E44A2"/>
    <w:rsid w:val="003F02E3"/>
    <w:rsid w:val="00414FA6"/>
    <w:rsid w:val="0041647A"/>
    <w:rsid w:val="004212FD"/>
    <w:rsid w:val="004225A2"/>
    <w:rsid w:val="00433380"/>
    <w:rsid w:val="004534A5"/>
    <w:rsid w:val="00461891"/>
    <w:rsid w:val="00461973"/>
    <w:rsid w:val="00474766"/>
    <w:rsid w:val="00477AA5"/>
    <w:rsid w:val="00481DC4"/>
    <w:rsid w:val="00482889"/>
    <w:rsid w:val="0048719F"/>
    <w:rsid w:val="004B190E"/>
    <w:rsid w:val="004B4AFD"/>
    <w:rsid w:val="004C20A4"/>
    <w:rsid w:val="004C31A0"/>
    <w:rsid w:val="004C4787"/>
    <w:rsid w:val="004F0D39"/>
    <w:rsid w:val="004F6CDE"/>
    <w:rsid w:val="005076CF"/>
    <w:rsid w:val="00507B6C"/>
    <w:rsid w:val="005277AC"/>
    <w:rsid w:val="00531944"/>
    <w:rsid w:val="0054782B"/>
    <w:rsid w:val="005513E7"/>
    <w:rsid w:val="005537F0"/>
    <w:rsid w:val="00554A72"/>
    <w:rsid w:val="00557CBD"/>
    <w:rsid w:val="00573D38"/>
    <w:rsid w:val="00583CEF"/>
    <w:rsid w:val="005862C4"/>
    <w:rsid w:val="00594C78"/>
    <w:rsid w:val="005B2AF7"/>
    <w:rsid w:val="005D5CAA"/>
    <w:rsid w:val="005E538D"/>
    <w:rsid w:val="005E5BED"/>
    <w:rsid w:val="005F0FD9"/>
    <w:rsid w:val="006048D5"/>
    <w:rsid w:val="00612A90"/>
    <w:rsid w:val="00652BEB"/>
    <w:rsid w:val="00660FBD"/>
    <w:rsid w:val="00663149"/>
    <w:rsid w:val="00667CEE"/>
    <w:rsid w:val="00672FA2"/>
    <w:rsid w:val="00673F20"/>
    <w:rsid w:val="0067611F"/>
    <w:rsid w:val="0069162D"/>
    <w:rsid w:val="00694025"/>
    <w:rsid w:val="006B1187"/>
    <w:rsid w:val="006B3AB5"/>
    <w:rsid w:val="006C3F60"/>
    <w:rsid w:val="006C4450"/>
    <w:rsid w:val="006F46EC"/>
    <w:rsid w:val="00724E9E"/>
    <w:rsid w:val="00735CE9"/>
    <w:rsid w:val="0076164C"/>
    <w:rsid w:val="007651CC"/>
    <w:rsid w:val="007910A6"/>
    <w:rsid w:val="007A5968"/>
    <w:rsid w:val="007E458D"/>
    <w:rsid w:val="007E5414"/>
    <w:rsid w:val="007E7C3A"/>
    <w:rsid w:val="008015CA"/>
    <w:rsid w:val="0080604E"/>
    <w:rsid w:val="0081168D"/>
    <w:rsid w:val="008400CE"/>
    <w:rsid w:val="00843249"/>
    <w:rsid w:val="00867170"/>
    <w:rsid w:val="00896961"/>
    <w:rsid w:val="008A49BB"/>
    <w:rsid w:val="008A4A72"/>
    <w:rsid w:val="008C3265"/>
    <w:rsid w:val="008C6E7C"/>
    <w:rsid w:val="008D0720"/>
    <w:rsid w:val="008D0E6C"/>
    <w:rsid w:val="008D1D43"/>
    <w:rsid w:val="008D1E2F"/>
    <w:rsid w:val="008E7199"/>
    <w:rsid w:val="0091682F"/>
    <w:rsid w:val="0095383D"/>
    <w:rsid w:val="00956303"/>
    <w:rsid w:val="009752A0"/>
    <w:rsid w:val="009758C9"/>
    <w:rsid w:val="009A3366"/>
    <w:rsid w:val="009A533B"/>
    <w:rsid w:val="009D076D"/>
    <w:rsid w:val="009E1831"/>
    <w:rsid w:val="009E6FDE"/>
    <w:rsid w:val="009F696B"/>
    <w:rsid w:val="00A12433"/>
    <w:rsid w:val="00A2586D"/>
    <w:rsid w:val="00A3459B"/>
    <w:rsid w:val="00A43DB1"/>
    <w:rsid w:val="00A4539D"/>
    <w:rsid w:val="00A51943"/>
    <w:rsid w:val="00A571E1"/>
    <w:rsid w:val="00A71E5F"/>
    <w:rsid w:val="00A9231F"/>
    <w:rsid w:val="00A96739"/>
    <w:rsid w:val="00AA0178"/>
    <w:rsid w:val="00AA61B8"/>
    <w:rsid w:val="00AD299F"/>
    <w:rsid w:val="00AD48F2"/>
    <w:rsid w:val="00AE0E18"/>
    <w:rsid w:val="00B037AD"/>
    <w:rsid w:val="00B14135"/>
    <w:rsid w:val="00B23CFA"/>
    <w:rsid w:val="00B54610"/>
    <w:rsid w:val="00B63605"/>
    <w:rsid w:val="00B742BC"/>
    <w:rsid w:val="00BA2FB2"/>
    <w:rsid w:val="00BB5A86"/>
    <w:rsid w:val="00BB66D0"/>
    <w:rsid w:val="00C01D47"/>
    <w:rsid w:val="00C04BE2"/>
    <w:rsid w:val="00C119DB"/>
    <w:rsid w:val="00C126E5"/>
    <w:rsid w:val="00C1515A"/>
    <w:rsid w:val="00C1625C"/>
    <w:rsid w:val="00C17164"/>
    <w:rsid w:val="00C42E75"/>
    <w:rsid w:val="00C54270"/>
    <w:rsid w:val="00C62087"/>
    <w:rsid w:val="00C62C80"/>
    <w:rsid w:val="00C72630"/>
    <w:rsid w:val="00C86AFB"/>
    <w:rsid w:val="00C94CC9"/>
    <w:rsid w:val="00CB7FF9"/>
    <w:rsid w:val="00CC7C0B"/>
    <w:rsid w:val="00CD7143"/>
    <w:rsid w:val="00CE583E"/>
    <w:rsid w:val="00CF2B30"/>
    <w:rsid w:val="00CF7C2C"/>
    <w:rsid w:val="00D02A11"/>
    <w:rsid w:val="00D02FE8"/>
    <w:rsid w:val="00D0550D"/>
    <w:rsid w:val="00D07931"/>
    <w:rsid w:val="00D323EB"/>
    <w:rsid w:val="00D4533E"/>
    <w:rsid w:val="00D50191"/>
    <w:rsid w:val="00D55832"/>
    <w:rsid w:val="00D57D8B"/>
    <w:rsid w:val="00D621F4"/>
    <w:rsid w:val="00D7022A"/>
    <w:rsid w:val="00D918EA"/>
    <w:rsid w:val="00D96161"/>
    <w:rsid w:val="00DA614C"/>
    <w:rsid w:val="00DB2CD1"/>
    <w:rsid w:val="00DD4909"/>
    <w:rsid w:val="00DE240E"/>
    <w:rsid w:val="00DE4777"/>
    <w:rsid w:val="00DE5442"/>
    <w:rsid w:val="00DE6509"/>
    <w:rsid w:val="00DF0804"/>
    <w:rsid w:val="00E05EE0"/>
    <w:rsid w:val="00E1748C"/>
    <w:rsid w:val="00E20AB2"/>
    <w:rsid w:val="00E5610D"/>
    <w:rsid w:val="00E72F50"/>
    <w:rsid w:val="00E77C67"/>
    <w:rsid w:val="00E90466"/>
    <w:rsid w:val="00E9259D"/>
    <w:rsid w:val="00EA1849"/>
    <w:rsid w:val="00EA3757"/>
    <w:rsid w:val="00EB0ED2"/>
    <w:rsid w:val="00EB1029"/>
    <w:rsid w:val="00ED1598"/>
    <w:rsid w:val="00F01600"/>
    <w:rsid w:val="00F025C2"/>
    <w:rsid w:val="00F126D2"/>
    <w:rsid w:val="00F207F2"/>
    <w:rsid w:val="00F2395C"/>
    <w:rsid w:val="00F64D63"/>
    <w:rsid w:val="00F7666E"/>
    <w:rsid w:val="00F867E8"/>
    <w:rsid w:val="00F93BBD"/>
    <w:rsid w:val="00F944A6"/>
    <w:rsid w:val="00FA3AA6"/>
    <w:rsid w:val="00FB0DE3"/>
    <w:rsid w:val="00FB4F6D"/>
    <w:rsid w:val="00FB7644"/>
    <w:rsid w:val="00FE59F3"/>
    <w:rsid w:val="00FF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11C42"/>
  <w15:chartTrackingRefBased/>
  <w15:docId w15:val="{D80E6CA7-50B2-4BBF-933F-51279000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831"/>
    <w:rPr>
      <w:sz w:val="24"/>
      <w:szCs w:val="24"/>
      <w:lang w:val="ru-RU" w:eastAsia="ru-RU"/>
    </w:rPr>
  </w:style>
  <w:style w:type="paragraph" w:styleId="1">
    <w:name w:val="heading 1"/>
    <w:basedOn w:val="a"/>
    <w:next w:val="a"/>
    <w:link w:val="10"/>
    <w:qFormat/>
    <w:rsid w:val="00843249"/>
    <w:pPr>
      <w:keepNext/>
      <w:numPr>
        <w:numId w:val="7"/>
      </w:numPr>
      <w:spacing w:before="240" w:after="60"/>
      <w:outlineLvl w:val="0"/>
    </w:pPr>
    <w:rPr>
      <w:rFonts w:ascii="Arial" w:hAnsi="Arial" w:cs="Arial"/>
      <w:b/>
      <w:bCs/>
      <w:kern w:val="32"/>
      <w:sz w:val="32"/>
      <w:szCs w:val="32"/>
    </w:rPr>
  </w:style>
  <w:style w:type="paragraph" w:styleId="2">
    <w:name w:val="heading 2"/>
    <w:basedOn w:val="a"/>
    <w:next w:val="a"/>
    <w:link w:val="20"/>
    <w:qFormat/>
    <w:rsid w:val="00843249"/>
    <w:pPr>
      <w:keepNext/>
      <w:numPr>
        <w:ilvl w:val="1"/>
        <w:numId w:val="7"/>
      </w:numPr>
      <w:spacing w:before="240" w:after="60"/>
      <w:outlineLvl w:val="1"/>
    </w:pPr>
    <w:rPr>
      <w:rFonts w:ascii="Arial" w:hAnsi="Arial" w:cs="Arial"/>
      <w:b/>
      <w:bCs/>
      <w:i/>
      <w:iCs/>
      <w:sz w:val="28"/>
      <w:szCs w:val="28"/>
    </w:rPr>
  </w:style>
  <w:style w:type="paragraph" w:styleId="3">
    <w:name w:val="heading 3"/>
    <w:basedOn w:val="a"/>
    <w:next w:val="a"/>
    <w:link w:val="30"/>
    <w:qFormat/>
    <w:rsid w:val="00843249"/>
    <w:pPr>
      <w:keepNext/>
      <w:numPr>
        <w:ilvl w:val="2"/>
        <w:numId w:val="7"/>
      </w:numPr>
      <w:spacing w:before="240" w:after="60"/>
      <w:outlineLvl w:val="2"/>
    </w:pPr>
    <w:rPr>
      <w:rFonts w:ascii="Arial" w:hAnsi="Arial" w:cs="Arial"/>
      <w:b/>
      <w:bCs/>
      <w:sz w:val="26"/>
      <w:szCs w:val="26"/>
    </w:rPr>
  </w:style>
  <w:style w:type="paragraph" w:styleId="4">
    <w:name w:val="heading 4"/>
    <w:basedOn w:val="a"/>
    <w:next w:val="a"/>
    <w:link w:val="40"/>
    <w:qFormat/>
    <w:rsid w:val="00843249"/>
    <w:pPr>
      <w:keepNext/>
      <w:numPr>
        <w:ilvl w:val="3"/>
        <w:numId w:val="7"/>
      </w:numPr>
      <w:spacing w:before="240" w:after="60"/>
      <w:outlineLvl w:val="3"/>
    </w:pPr>
    <w:rPr>
      <w:b/>
      <w:bCs/>
      <w:sz w:val="28"/>
      <w:szCs w:val="28"/>
    </w:rPr>
  </w:style>
  <w:style w:type="paragraph" w:styleId="5">
    <w:name w:val="heading 5"/>
    <w:basedOn w:val="a"/>
    <w:next w:val="a"/>
    <w:link w:val="50"/>
    <w:qFormat/>
    <w:rsid w:val="00843249"/>
    <w:pPr>
      <w:numPr>
        <w:ilvl w:val="4"/>
        <w:numId w:val="7"/>
      </w:numPr>
      <w:spacing w:before="240" w:after="60"/>
      <w:outlineLvl w:val="4"/>
    </w:pPr>
    <w:rPr>
      <w:b/>
      <w:bCs/>
      <w:i/>
      <w:iCs/>
      <w:sz w:val="26"/>
      <w:szCs w:val="26"/>
    </w:rPr>
  </w:style>
  <w:style w:type="paragraph" w:styleId="6">
    <w:name w:val="heading 6"/>
    <w:basedOn w:val="a"/>
    <w:next w:val="a"/>
    <w:link w:val="60"/>
    <w:qFormat/>
    <w:rsid w:val="00843249"/>
    <w:pPr>
      <w:numPr>
        <w:ilvl w:val="5"/>
        <w:numId w:val="7"/>
      </w:numPr>
      <w:spacing w:before="240" w:after="60"/>
      <w:outlineLvl w:val="5"/>
    </w:pPr>
    <w:rPr>
      <w:b/>
      <w:bCs/>
      <w:sz w:val="22"/>
      <w:szCs w:val="22"/>
    </w:rPr>
  </w:style>
  <w:style w:type="paragraph" w:styleId="7">
    <w:name w:val="heading 7"/>
    <w:basedOn w:val="a"/>
    <w:next w:val="a"/>
    <w:link w:val="70"/>
    <w:qFormat/>
    <w:rsid w:val="00843249"/>
    <w:pPr>
      <w:numPr>
        <w:ilvl w:val="6"/>
        <w:numId w:val="7"/>
      </w:numPr>
      <w:spacing w:before="240" w:after="60"/>
      <w:outlineLvl w:val="6"/>
    </w:pPr>
  </w:style>
  <w:style w:type="paragraph" w:styleId="8">
    <w:name w:val="heading 8"/>
    <w:basedOn w:val="a"/>
    <w:next w:val="a"/>
    <w:link w:val="80"/>
    <w:qFormat/>
    <w:rsid w:val="00843249"/>
    <w:pPr>
      <w:numPr>
        <w:ilvl w:val="7"/>
        <w:numId w:val="7"/>
      </w:numPr>
      <w:spacing w:before="240" w:after="60"/>
      <w:outlineLvl w:val="7"/>
    </w:pPr>
    <w:rPr>
      <w:i/>
      <w:iCs/>
    </w:rPr>
  </w:style>
  <w:style w:type="paragraph" w:styleId="9">
    <w:name w:val="heading 9"/>
    <w:basedOn w:val="a"/>
    <w:next w:val="a"/>
    <w:link w:val="90"/>
    <w:qFormat/>
    <w:rsid w:val="00843249"/>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1D3F21"/>
    <w:rPr>
      <w:rFonts w:ascii="Times New Roman" w:hAnsi="Times New Roman" w:cs="Times New Roman"/>
      <w:spacing w:val="-10"/>
      <w:sz w:val="20"/>
      <w:szCs w:val="20"/>
    </w:rPr>
  </w:style>
  <w:style w:type="paragraph" w:customStyle="1" w:styleId="Style11">
    <w:name w:val="Style11"/>
    <w:basedOn w:val="a"/>
    <w:rsid w:val="001D3F21"/>
    <w:pPr>
      <w:widowControl w:val="0"/>
      <w:autoSpaceDE w:val="0"/>
      <w:autoSpaceDN w:val="0"/>
      <w:adjustRightInd w:val="0"/>
      <w:spacing w:line="254" w:lineRule="exact"/>
    </w:pPr>
  </w:style>
  <w:style w:type="paragraph" w:customStyle="1" w:styleId="Default">
    <w:name w:val="Default"/>
    <w:basedOn w:val="a"/>
    <w:rsid w:val="00C01D47"/>
    <w:pPr>
      <w:autoSpaceDE w:val="0"/>
      <w:autoSpaceDN w:val="0"/>
    </w:pPr>
    <w:rPr>
      <w:color w:val="000000"/>
    </w:rPr>
  </w:style>
  <w:style w:type="paragraph" w:styleId="a4">
    <w:name w:val="header"/>
    <w:basedOn w:val="a"/>
    <w:link w:val="a5"/>
    <w:rsid w:val="00CF2B30"/>
    <w:pPr>
      <w:tabs>
        <w:tab w:val="center" w:pos="4677"/>
        <w:tab w:val="right" w:pos="9355"/>
      </w:tabs>
    </w:pPr>
  </w:style>
  <w:style w:type="character" w:customStyle="1" w:styleId="a5">
    <w:name w:val="Верхній колонтитул Знак"/>
    <w:link w:val="a4"/>
    <w:rsid w:val="00CF2B30"/>
    <w:rPr>
      <w:sz w:val="24"/>
      <w:szCs w:val="24"/>
    </w:rPr>
  </w:style>
  <w:style w:type="paragraph" w:styleId="a6">
    <w:name w:val="footer"/>
    <w:basedOn w:val="a"/>
    <w:link w:val="a7"/>
    <w:rsid w:val="00CF2B30"/>
    <w:pPr>
      <w:tabs>
        <w:tab w:val="center" w:pos="4677"/>
        <w:tab w:val="right" w:pos="9355"/>
      </w:tabs>
    </w:pPr>
  </w:style>
  <w:style w:type="character" w:customStyle="1" w:styleId="a7">
    <w:name w:val="Нижній колонтитул Знак"/>
    <w:link w:val="a6"/>
    <w:rsid w:val="00CF2B30"/>
    <w:rPr>
      <w:sz w:val="24"/>
      <w:szCs w:val="24"/>
    </w:rPr>
  </w:style>
  <w:style w:type="character" w:customStyle="1" w:styleId="10">
    <w:name w:val="Заголовок 1 Знак"/>
    <w:link w:val="1"/>
    <w:rsid w:val="00843249"/>
    <w:rPr>
      <w:rFonts w:ascii="Arial" w:hAnsi="Arial" w:cs="Arial"/>
      <w:b/>
      <w:bCs/>
      <w:kern w:val="32"/>
      <w:sz w:val="32"/>
      <w:szCs w:val="32"/>
    </w:rPr>
  </w:style>
  <w:style w:type="character" w:customStyle="1" w:styleId="20">
    <w:name w:val="Заголовок 2 Знак"/>
    <w:link w:val="2"/>
    <w:rsid w:val="00843249"/>
    <w:rPr>
      <w:rFonts w:ascii="Arial" w:hAnsi="Arial" w:cs="Arial"/>
      <w:b/>
      <w:bCs/>
      <w:i/>
      <w:iCs/>
      <w:sz w:val="28"/>
      <w:szCs w:val="28"/>
    </w:rPr>
  </w:style>
  <w:style w:type="character" w:customStyle="1" w:styleId="30">
    <w:name w:val="Заголовок 3 Знак"/>
    <w:link w:val="3"/>
    <w:rsid w:val="00843249"/>
    <w:rPr>
      <w:rFonts w:ascii="Arial" w:hAnsi="Arial" w:cs="Arial"/>
      <w:b/>
      <w:bCs/>
      <w:sz w:val="26"/>
      <w:szCs w:val="26"/>
    </w:rPr>
  </w:style>
  <w:style w:type="character" w:customStyle="1" w:styleId="40">
    <w:name w:val="Заголовок 4 Знак"/>
    <w:link w:val="4"/>
    <w:rsid w:val="00843249"/>
    <w:rPr>
      <w:b/>
      <w:bCs/>
      <w:sz w:val="28"/>
      <w:szCs w:val="28"/>
    </w:rPr>
  </w:style>
  <w:style w:type="character" w:customStyle="1" w:styleId="50">
    <w:name w:val="Заголовок 5 Знак"/>
    <w:link w:val="5"/>
    <w:rsid w:val="00843249"/>
    <w:rPr>
      <w:b/>
      <w:bCs/>
      <w:i/>
      <w:iCs/>
      <w:sz w:val="26"/>
      <w:szCs w:val="26"/>
    </w:rPr>
  </w:style>
  <w:style w:type="character" w:customStyle="1" w:styleId="60">
    <w:name w:val="Заголовок 6 Знак"/>
    <w:link w:val="6"/>
    <w:rsid w:val="00843249"/>
    <w:rPr>
      <w:b/>
      <w:bCs/>
      <w:sz w:val="22"/>
      <w:szCs w:val="22"/>
    </w:rPr>
  </w:style>
  <w:style w:type="character" w:customStyle="1" w:styleId="70">
    <w:name w:val="Заголовок 7 Знак"/>
    <w:link w:val="7"/>
    <w:rsid w:val="00843249"/>
    <w:rPr>
      <w:sz w:val="24"/>
      <w:szCs w:val="24"/>
    </w:rPr>
  </w:style>
  <w:style w:type="character" w:customStyle="1" w:styleId="80">
    <w:name w:val="Заголовок 8 Знак"/>
    <w:link w:val="8"/>
    <w:rsid w:val="00843249"/>
    <w:rPr>
      <w:i/>
      <w:iCs/>
      <w:sz w:val="24"/>
      <w:szCs w:val="24"/>
    </w:rPr>
  </w:style>
  <w:style w:type="character" w:customStyle="1" w:styleId="90">
    <w:name w:val="Заголовок 9 Знак"/>
    <w:link w:val="9"/>
    <w:rsid w:val="0084324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3551">
      <w:bodyDiv w:val="1"/>
      <w:marLeft w:val="0"/>
      <w:marRight w:val="0"/>
      <w:marTop w:val="0"/>
      <w:marBottom w:val="0"/>
      <w:divBdr>
        <w:top w:val="none" w:sz="0" w:space="0" w:color="auto"/>
        <w:left w:val="none" w:sz="0" w:space="0" w:color="auto"/>
        <w:bottom w:val="none" w:sz="0" w:space="0" w:color="auto"/>
        <w:right w:val="none" w:sz="0" w:space="0" w:color="auto"/>
      </w:divBdr>
    </w:div>
    <w:div w:id="1648196311">
      <w:bodyDiv w:val="1"/>
      <w:marLeft w:val="0"/>
      <w:marRight w:val="0"/>
      <w:marTop w:val="0"/>
      <w:marBottom w:val="0"/>
      <w:divBdr>
        <w:top w:val="none" w:sz="0" w:space="0" w:color="auto"/>
        <w:left w:val="none" w:sz="0" w:space="0" w:color="auto"/>
        <w:bottom w:val="none" w:sz="0" w:space="0" w:color="auto"/>
        <w:right w:val="none" w:sz="0" w:space="0" w:color="auto"/>
      </w:divBdr>
    </w:div>
    <w:div w:id="18410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6478</Words>
  <Characters>3694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Заява на визначення обсягу СЕО</vt:lpstr>
    </vt:vector>
  </TitlesOfParts>
  <Company>MoBIL GROUP</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Заява на визначення обсягу СЕО</dc:title>
  <dc:subject/>
  <dc:creator>Степан Брич</dc:creator>
  <cp:keywords/>
  <dc:description/>
  <cp:lastModifiedBy>kamrada2@outlook.com</cp:lastModifiedBy>
  <cp:revision>2</cp:revision>
  <cp:lastPrinted>2018-05-03T11:59:00Z</cp:lastPrinted>
  <dcterms:created xsi:type="dcterms:W3CDTF">2022-02-04T13:59:00Z</dcterms:created>
  <dcterms:modified xsi:type="dcterms:W3CDTF">2022-02-04T13:59:00Z</dcterms:modified>
</cp:coreProperties>
</file>